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7C13" w14:textId="77777777" w:rsidR="009830E4" w:rsidRPr="00B21FC4" w:rsidRDefault="009830E4" w:rsidP="007E72D3">
      <w:pPr>
        <w:pStyle w:val="Heading1a"/>
        <w:keepNext w:val="0"/>
        <w:keepLines w:val="0"/>
        <w:tabs>
          <w:tab w:val="clear" w:pos="-720"/>
        </w:tabs>
        <w:suppressAutoHyphens w:val="0"/>
        <w:rPr>
          <w:bCs/>
          <w:smallCaps w:val="0"/>
          <w:sz w:val="26"/>
          <w:szCs w:val="26"/>
        </w:rPr>
      </w:pPr>
      <w:r w:rsidRPr="00B21FC4">
        <w:rPr>
          <w:bCs/>
          <w:smallCaps w:val="0"/>
          <w:sz w:val="26"/>
          <w:szCs w:val="26"/>
        </w:rPr>
        <w:t>REQUEST FOR EXPRESSIONS OF INTEREST</w:t>
      </w:r>
    </w:p>
    <w:p w14:paraId="3AC4A138" w14:textId="77777777" w:rsidR="009830E4" w:rsidRPr="00B21FC4" w:rsidRDefault="009830E4" w:rsidP="007E72D3">
      <w:pPr>
        <w:pStyle w:val="Heading1a"/>
        <w:keepNext w:val="0"/>
        <w:keepLines w:val="0"/>
        <w:tabs>
          <w:tab w:val="clear" w:pos="-720"/>
        </w:tabs>
        <w:suppressAutoHyphens w:val="0"/>
        <w:rPr>
          <w:bCs/>
          <w:smallCaps w:val="0"/>
          <w:sz w:val="26"/>
          <w:szCs w:val="26"/>
        </w:rPr>
      </w:pPr>
      <w:r w:rsidRPr="00B21FC4">
        <w:rPr>
          <w:bCs/>
          <w:smallCaps w:val="0"/>
          <w:sz w:val="26"/>
          <w:szCs w:val="26"/>
        </w:rPr>
        <w:t>(CONSULT</w:t>
      </w:r>
      <w:r w:rsidR="001D70EB" w:rsidRPr="00B21FC4">
        <w:rPr>
          <w:bCs/>
          <w:smallCaps w:val="0"/>
          <w:sz w:val="26"/>
          <w:szCs w:val="26"/>
        </w:rPr>
        <w:t>ING</w:t>
      </w:r>
      <w:r w:rsidRPr="00B21FC4">
        <w:rPr>
          <w:bCs/>
          <w:smallCaps w:val="0"/>
          <w:sz w:val="26"/>
          <w:szCs w:val="26"/>
        </w:rPr>
        <w:t xml:space="preserve"> SERVICES</w:t>
      </w:r>
      <w:r w:rsidR="00A05A45" w:rsidRPr="00B21FC4">
        <w:rPr>
          <w:bCs/>
          <w:smallCaps w:val="0"/>
          <w:sz w:val="26"/>
          <w:szCs w:val="26"/>
        </w:rPr>
        <w:t xml:space="preserve"> – FIRMS SELECTION</w:t>
      </w:r>
      <w:r w:rsidRPr="00B21FC4">
        <w:rPr>
          <w:bCs/>
          <w:smallCaps w:val="0"/>
          <w:sz w:val="26"/>
          <w:szCs w:val="26"/>
        </w:rPr>
        <w:t>)</w:t>
      </w:r>
    </w:p>
    <w:p w14:paraId="2469C3A7" w14:textId="77777777" w:rsidR="009830E4" w:rsidRPr="0037139E" w:rsidRDefault="009830E4" w:rsidP="007E72D3">
      <w:pPr>
        <w:suppressAutoHyphens/>
        <w:rPr>
          <w:rFonts w:ascii="Times New Roman" w:hAnsi="Times New Roman"/>
          <w:spacing w:val="-2"/>
          <w:szCs w:val="22"/>
        </w:rPr>
      </w:pPr>
    </w:p>
    <w:p w14:paraId="08839D23" w14:textId="77777777" w:rsidR="009830E4" w:rsidRPr="0037139E" w:rsidRDefault="009830E4" w:rsidP="007E72D3">
      <w:pPr>
        <w:pStyle w:val="ChapterNumber"/>
        <w:tabs>
          <w:tab w:val="clear" w:pos="-720"/>
        </w:tabs>
        <w:rPr>
          <w:rFonts w:ascii="Times New Roman" w:hAnsi="Times New Roman"/>
          <w:spacing w:val="-2"/>
          <w:szCs w:val="22"/>
        </w:rPr>
      </w:pPr>
    </w:p>
    <w:p w14:paraId="3C2FF56C" w14:textId="77777777" w:rsidR="00B21FC4" w:rsidRPr="00E62241" w:rsidRDefault="00B21FC4" w:rsidP="00B21FC4">
      <w:pPr>
        <w:suppressAutoHyphens/>
        <w:rPr>
          <w:rFonts w:ascii="Times New Roman" w:hAnsi="Times New Roman"/>
          <w:b/>
          <w:spacing w:val="-2"/>
          <w:sz w:val="24"/>
        </w:rPr>
      </w:pPr>
      <w:r w:rsidRPr="00E62241">
        <w:rPr>
          <w:rFonts w:ascii="Times New Roman" w:hAnsi="Times New Roman"/>
          <w:b/>
          <w:spacing w:val="-2"/>
          <w:sz w:val="24"/>
        </w:rPr>
        <w:t>Republic of Serbia</w:t>
      </w:r>
    </w:p>
    <w:p w14:paraId="16E7026F" w14:textId="77777777" w:rsidR="00B21FC4" w:rsidRPr="00E62241" w:rsidRDefault="00CB1558" w:rsidP="00B21FC4">
      <w:pPr>
        <w:suppressAutoHyphens/>
        <w:rPr>
          <w:rFonts w:ascii="Times New Roman" w:hAnsi="Times New Roman"/>
          <w:b/>
          <w:spacing w:val="-2"/>
          <w:sz w:val="24"/>
        </w:rPr>
      </w:pPr>
      <w:r w:rsidRPr="00CB1558">
        <w:rPr>
          <w:rFonts w:ascii="Times New Roman" w:hAnsi="Times New Roman"/>
          <w:b/>
          <w:spacing w:val="-2"/>
          <w:sz w:val="24"/>
        </w:rPr>
        <w:t xml:space="preserve">Enabling Digital Governance in Serbia </w:t>
      </w:r>
      <w:r w:rsidR="00B21FC4" w:rsidRPr="00674B08">
        <w:rPr>
          <w:rFonts w:ascii="Times New Roman" w:hAnsi="Times New Roman"/>
          <w:b/>
          <w:spacing w:val="-2"/>
          <w:sz w:val="24"/>
        </w:rPr>
        <w:t>(E</w:t>
      </w:r>
      <w:r>
        <w:rPr>
          <w:rFonts w:ascii="Times New Roman" w:hAnsi="Times New Roman"/>
          <w:b/>
          <w:spacing w:val="-2"/>
          <w:sz w:val="24"/>
        </w:rPr>
        <w:t>DGe</w:t>
      </w:r>
      <w:r w:rsidR="00B21FC4" w:rsidRPr="00674B08">
        <w:rPr>
          <w:rFonts w:ascii="Times New Roman" w:hAnsi="Times New Roman"/>
          <w:b/>
          <w:spacing w:val="-2"/>
          <w:sz w:val="24"/>
        </w:rPr>
        <w:t>)</w:t>
      </w:r>
    </w:p>
    <w:p w14:paraId="375519C4" w14:textId="77777777" w:rsidR="00B21FC4" w:rsidRPr="00D65D0B" w:rsidRDefault="00B21FC4" w:rsidP="00B21FC4">
      <w:pPr>
        <w:pStyle w:val="BodyText"/>
        <w:rPr>
          <w:rFonts w:ascii="Times New Roman" w:hAnsi="Times New Roman"/>
          <w:b/>
        </w:rPr>
      </w:pPr>
      <w:r w:rsidRPr="00D65D0B">
        <w:rPr>
          <w:rFonts w:ascii="Times New Roman" w:hAnsi="Times New Roman"/>
          <w:b/>
        </w:rPr>
        <w:t>Project ID No. P1</w:t>
      </w:r>
      <w:r w:rsidR="00CB1558">
        <w:rPr>
          <w:rFonts w:ascii="Times New Roman" w:hAnsi="Times New Roman"/>
          <w:b/>
        </w:rPr>
        <w:t>64824</w:t>
      </w:r>
    </w:p>
    <w:p w14:paraId="56CA4BF1" w14:textId="77777777" w:rsidR="00B21FC4" w:rsidRDefault="00B21FC4" w:rsidP="00B21FC4">
      <w:pPr>
        <w:suppressAutoHyphens/>
        <w:spacing w:after="120"/>
        <w:rPr>
          <w:rFonts w:ascii="Times New Roman" w:hAnsi="Times New Roman"/>
          <w:b/>
          <w:smallCaps/>
          <w:spacing w:val="-2"/>
          <w:szCs w:val="22"/>
        </w:rPr>
      </w:pPr>
    </w:p>
    <w:p w14:paraId="4704DF9D" w14:textId="54BD59A8" w:rsidR="00000720" w:rsidRPr="00000720" w:rsidRDefault="00EC50B8" w:rsidP="00000720">
      <w:pPr>
        <w:rPr>
          <w:rFonts w:ascii="Times New Roman" w:hAnsi="Times New Roman"/>
          <w:b/>
          <w:bCs/>
          <w:szCs w:val="22"/>
        </w:rPr>
      </w:pPr>
      <w:r w:rsidRPr="0037139E">
        <w:rPr>
          <w:rFonts w:ascii="Times New Roman" w:hAnsi="Times New Roman"/>
          <w:b/>
          <w:szCs w:val="22"/>
        </w:rPr>
        <w:t>Assignment Title</w:t>
      </w:r>
      <w:r w:rsidR="000C4041" w:rsidRPr="0037139E">
        <w:rPr>
          <w:rFonts w:ascii="Times New Roman" w:hAnsi="Times New Roman"/>
          <w:b/>
          <w:szCs w:val="22"/>
        </w:rPr>
        <w:t xml:space="preserve">: </w:t>
      </w:r>
      <w:r w:rsidR="00000720">
        <w:rPr>
          <w:rFonts w:ascii="Times New Roman" w:hAnsi="Times New Roman"/>
          <w:b/>
          <w:szCs w:val="22"/>
        </w:rPr>
        <w:t xml:space="preserve"> </w:t>
      </w:r>
      <w:r w:rsidR="00E87DC4" w:rsidRPr="00E87DC4">
        <w:rPr>
          <w:rFonts w:ascii="Times New Roman" w:hAnsi="Times New Roman"/>
          <w:b/>
          <w:bCs/>
          <w:szCs w:val="22"/>
        </w:rPr>
        <w:t>Digital Caravan Across Serbia – Toward People Centered Services</w:t>
      </w:r>
    </w:p>
    <w:p w14:paraId="37CB5D93" w14:textId="0F98B997" w:rsidR="00186F7D" w:rsidRPr="0037139E" w:rsidRDefault="00B21FC4" w:rsidP="00000720">
      <w:pPr>
        <w:rPr>
          <w:rFonts w:ascii="Times New Roman" w:hAnsi="Times New Roman"/>
          <w:b/>
          <w:bCs/>
          <w:szCs w:val="22"/>
        </w:rPr>
      </w:pPr>
      <w:r>
        <w:rPr>
          <w:rFonts w:ascii="Times New Roman" w:hAnsi="Times New Roman"/>
          <w:b/>
          <w:bCs/>
          <w:szCs w:val="22"/>
        </w:rPr>
        <w:t>Reference No. SER-</w:t>
      </w:r>
      <w:r w:rsidR="00CB1558">
        <w:rPr>
          <w:rFonts w:ascii="Times New Roman" w:hAnsi="Times New Roman"/>
          <w:b/>
          <w:bCs/>
          <w:szCs w:val="22"/>
        </w:rPr>
        <w:t>EDGE</w:t>
      </w:r>
      <w:r>
        <w:rPr>
          <w:rFonts w:ascii="Times New Roman" w:hAnsi="Times New Roman"/>
          <w:b/>
          <w:bCs/>
          <w:szCs w:val="22"/>
        </w:rPr>
        <w:t>-</w:t>
      </w:r>
      <w:r w:rsidRPr="00B21FC4">
        <w:rPr>
          <w:rFonts w:ascii="Times New Roman" w:hAnsi="Times New Roman"/>
          <w:b/>
          <w:bCs/>
          <w:szCs w:val="22"/>
        </w:rPr>
        <w:t>C</w:t>
      </w:r>
      <w:r>
        <w:rPr>
          <w:rFonts w:ascii="Times New Roman" w:hAnsi="Times New Roman"/>
          <w:b/>
          <w:bCs/>
          <w:szCs w:val="22"/>
        </w:rPr>
        <w:t>Q</w:t>
      </w:r>
      <w:r w:rsidR="00000720">
        <w:rPr>
          <w:rFonts w:ascii="Times New Roman" w:hAnsi="Times New Roman"/>
          <w:b/>
          <w:bCs/>
          <w:szCs w:val="22"/>
        </w:rPr>
        <w:t>S</w:t>
      </w:r>
      <w:r w:rsidRPr="00B21FC4">
        <w:rPr>
          <w:rFonts w:ascii="Times New Roman" w:hAnsi="Times New Roman"/>
          <w:b/>
          <w:bCs/>
          <w:szCs w:val="22"/>
        </w:rPr>
        <w:t>-CS-</w:t>
      </w:r>
      <w:r w:rsidR="00000720">
        <w:rPr>
          <w:rFonts w:ascii="Times New Roman" w:hAnsi="Times New Roman"/>
          <w:b/>
          <w:bCs/>
          <w:szCs w:val="22"/>
        </w:rPr>
        <w:t>25</w:t>
      </w:r>
      <w:r w:rsidRPr="00B21FC4">
        <w:rPr>
          <w:rFonts w:ascii="Times New Roman" w:hAnsi="Times New Roman"/>
          <w:b/>
          <w:bCs/>
          <w:szCs w:val="22"/>
        </w:rPr>
        <w:t>-</w:t>
      </w:r>
      <w:r w:rsidR="00E87DC4">
        <w:rPr>
          <w:rFonts w:ascii="Times New Roman" w:hAnsi="Times New Roman"/>
          <w:b/>
          <w:bCs/>
          <w:szCs w:val="22"/>
        </w:rPr>
        <w:t>70</w:t>
      </w:r>
    </w:p>
    <w:p w14:paraId="0FD19424" w14:textId="77777777" w:rsidR="009830E4" w:rsidRPr="0037139E" w:rsidRDefault="009830E4" w:rsidP="007E72D3">
      <w:pPr>
        <w:suppressAutoHyphens/>
        <w:rPr>
          <w:rFonts w:ascii="Times New Roman" w:hAnsi="Times New Roman"/>
          <w:spacing w:val="-2"/>
          <w:szCs w:val="22"/>
        </w:rPr>
      </w:pPr>
    </w:p>
    <w:p w14:paraId="762CE458" w14:textId="77777777" w:rsidR="00B21FC4" w:rsidRPr="00B21FC4" w:rsidRDefault="00B21FC4" w:rsidP="00B21FC4">
      <w:pPr>
        <w:spacing w:before="120" w:after="120"/>
        <w:jc w:val="both"/>
        <w:rPr>
          <w:rFonts w:ascii="Times New Roman" w:hAnsi="Times New Roman"/>
          <w:spacing w:val="-2"/>
          <w:szCs w:val="22"/>
        </w:rPr>
      </w:pPr>
      <w:r w:rsidRPr="00B21FC4">
        <w:rPr>
          <w:rFonts w:ascii="Times New Roman" w:hAnsi="Times New Roman"/>
          <w:spacing w:val="-2"/>
          <w:szCs w:val="22"/>
        </w:rPr>
        <w:t xml:space="preserve">The Republic of Serbia has received financing in the amount of US$ 50,000,000 equivalent from the World Bank toward the cost of the </w:t>
      </w:r>
      <w:r w:rsidR="00CB1558" w:rsidRPr="00CB1558">
        <w:rPr>
          <w:rFonts w:ascii="Times New Roman" w:hAnsi="Times New Roman"/>
          <w:spacing w:val="-2"/>
          <w:szCs w:val="22"/>
        </w:rPr>
        <w:t>Enabling Digital Governance Project (EDGe)</w:t>
      </w:r>
      <w:r w:rsidRPr="00B21FC4">
        <w:rPr>
          <w:rFonts w:ascii="Times New Roman" w:hAnsi="Times New Roman"/>
          <w:spacing w:val="-2"/>
          <w:szCs w:val="22"/>
        </w:rPr>
        <w:t xml:space="preserve">, and intends to apply part of the proceeds for consulting services. </w:t>
      </w:r>
    </w:p>
    <w:p w14:paraId="796CCF33" w14:textId="1A2D067E" w:rsidR="00CB1558" w:rsidRDefault="004B18F2" w:rsidP="00000720">
      <w:pPr>
        <w:spacing w:before="120" w:after="120"/>
        <w:jc w:val="both"/>
        <w:rPr>
          <w:rFonts w:ascii="Times New Roman" w:hAnsi="Times New Roman"/>
          <w:spacing w:val="-2"/>
          <w:szCs w:val="22"/>
        </w:rPr>
      </w:pPr>
      <w:r w:rsidRPr="004B18F2">
        <w:rPr>
          <w:rFonts w:ascii="Times New Roman" w:hAnsi="Times New Roman"/>
          <w:spacing w:val="-2"/>
          <w:szCs w:val="22"/>
        </w:rPr>
        <w:t>The Government of Serbia is committed to accelerating its digital transformation to enhance public service delivery, administrative efficiency, and transparency. A central element of this transformation is the establishment of an electronic wallet (e-wallet) system intended to securely digitize and streamline access to and verification of essential personal documents and public services. This initiative aligns with global best practices and the European Union's Electronic Identification, Authentication, and Trust Services regulation (eIDAS2), responding to a growing demand for secure and user-friendly digital identification solutions</w:t>
      </w:r>
      <w:r w:rsidR="00CB1558" w:rsidRPr="00CB1558">
        <w:rPr>
          <w:rFonts w:ascii="Times New Roman" w:hAnsi="Times New Roman"/>
          <w:spacing w:val="-2"/>
          <w:szCs w:val="22"/>
        </w:rPr>
        <w:t>.</w:t>
      </w:r>
      <w:r w:rsidR="00CB1558">
        <w:rPr>
          <w:rFonts w:ascii="Times New Roman" w:hAnsi="Times New Roman"/>
          <w:spacing w:val="-2"/>
          <w:szCs w:val="22"/>
        </w:rPr>
        <w:t xml:space="preserve"> </w:t>
      </w:r>
    </w:p>
    <w:p w14:paraId="5E55D2C8" w14:textId="77777777" w:rsidR="00B21FC4" w:rsidRDefault="00B21FC4" w:rsidP="00CB1558">
      <w:pPr>
        <w:spacing w:before="120" w:after="120"/>
        <w:jc w:val="both"/>
        <w:rPr>
          <w:rFonts w:ascii="Times New Roman" w:hAnsi="Times New Roman"/>
          <w:spacing w:val="-2"/>
          <w:szCs w:val="22"/>
        </w:rPr>
      </w:pPr>
      <w:r w:rsidRPr="00B21FC4">
        <w:rPr>
          <w:rFonts w:ascii="Times New Roman" w:hAnsi="Times New Roman"/>
          <w:spacing w:val="-2"/>
          <w:szCs w:val="22"/>
        </w:rPr>
        <w:t xml:space="preserve">The scope of assignment for consulting services include: </w:t>
      </w:r>
    </w:p>
    <w:p w14:paraId="033093E3" w14:textId="77777777" w:rsidR="00E87DC4" w:rsidRPr="00E87DC4" w:rsidRDefault="00000720" w:rsidP="00E87DC4">
      <w:pPr>
        <w:pStyle w:val="Bulit"/>
        <w:rPr>
          <w:rFonts w:eastAsiaTheme="minorHAnsi" w:cs="Times New Roman"/>
          <w:bCs w:val="0"/>
          <w:szCs w:val="22"/>
          <w:bdr w:val="none" w:sz="0" w:space="0" w:color="auto"/>
        </w:rPr>
      </w:pPr>
      <w:r>
        <w:rPr>
          <w:szCs w:val="22"/>
        </w:rPr>
        <w:t xml:space="preserve">  </w:t>
      </w:r>
      <w:r w:rsidR="00E87DC4" w:rsidRPr="00E87DC4">
        <w:rPr>
          <w:rFonts w:eastAsiaTheme="minorHAnsi" w:cs="Times New Roman"/>
          <w:bCs w:val="0"/>
          <w:szCs w:val="22"/>
          <w:bdr w:val="none" w:sz="0" w:space="0" w:color="auto"/>
        </w:rPr>
        <w:t xml:space="preserve">The next phase of the Digital Caravan aims to significantly broaden and deepen its geographic coverage across Serbia and enhance local community engagement. </w:t>
      </w:r>
    </w:p>
    <w:p w14:paraId="79A62B13" w14:textId="77777777" w:rsidR="00E87DC4" w:rsidRPr="00E87DC4" w:rsidRDefault="00E87DC4" w:rsidP="00E87DC4">
      <w:pPr>
        <w:pStyle w:val="Bulit"/>
        <w:rPr>
          <w:rFonts w:eastAsiaTheme="minorHAnsi" w:cs="Times New Roman"/>
          <w:bCs w:val="0"/>
          <w:szCs w:val="22"/>
          <w:bdr w:val="none" w:sz="0" w:space="0" w:color="auto"/>
        </w:rPr>
      </w:pPr>
      <w:r w:rsidRPr="00E87DC4">
        <w:rPr>
          <w:rFonts w:eastAsiaTheme="minorHAnsi" w:cs="Times New Roman"/>
          <w:bCs w:val="0"/>
          <w:szCs w:val="22"/>
          <w:bdr w:val="none" w:sz="0" w:space="0" w:color="auto"/>
        </w:rPr>
        <w:t xml:space="preserve">The Digital Caravan will be implemented in five (5) strategically selected municipalities, with the aim of deeper inclusion of local communities and strengthening their digital capacities. In partnership with the selected Consulting firm, the Office for IT and eGovernment (OITEG) will conduct activities in close cooperation with local stakeholders, including self-governments, health centers, civil society organizations, small and medium enterprises, startups, as well as the technology communities. </w:t>
      </w:r>
    </w:p>
    <w:p w14:paraId="76CF8045" w14:textId="77777777" w:rsidR="00E87DC4" w:rsidRPr="00E87DC4" w:rsidRDefault="00E87DC4" w:rsidP="00E87DC4">
      <w:pPr>
        <w:pStyle w:val="Bulit"/>
        <w:rPr>
          <w:rFonts w:eastAsiaTheme="minorHAnsi" w:cs="Times New Roman"/>
          <w:bCs w:val="0"/>
          <w:szCs w:val="22"/>
          <w:bdr w:val="none" w:sz="0" w:space="0" w:color="auto"/>
        </w:rPr>
      </w:pPr>
      <w:r w:rsidRPr="00E87DC4">
        <w:rPr>
          <w:rFonts w:eastAsiaTheme="minorHAnsi" w:cs="Times New Roman"/>
          <w:bCs w:val="0"/>
          <w:szCs w:val="22"/>
          <w:bdr w:val="none" w:sz="0" w:space="0" w:color="auto"/>
        </w:rPr>
        <w:t>Based on the framework established in the Inception Report, an Operational Plan will be developed. This plan may include stakeholder mapping, scheduling of key activities, allocation of responsibilities, and resource planning, and it can incorporate a customized engagement plan for each municipality. The engagement plan can be tailored to the specific needs and circumstances of each local community and may include activities targeting different age groups, aiming to foster intergenerational cooperation and develop essential skills for local digital transformation. The timeline and pace of implementation will remain flexible and may be adjusted according to available capacities and local conditions.</w:t>
      </w:r>
    </w:p>
    <w:p w14:paraId="3BF13FE5" w14:textId="1178DE77" w:rsidR="004B18F2" w:rsidRDefault="00E87DC4" w:rsidP="00E87DC4">
      <w:pPr>
        <w:pStyle w:val="Bulit"/>
        <w:rPr>
          <w:rFonts w:eastAsia="Times New Roman" w:cstheme="majorBidi"/>
        </w:rPr>
      </w:pPr>
      <w:r w:rsidRPr="00E87DC4">
        <w:rPr>
          <w:rFonts w:eastAsiaTheme="minorHAnsi" w:cs="Times New Roman"/>
          <w:bCs w:val="0"/>
          <w:szCs w:val="22"/>
          <w:bdr w:val="none" w:sz="0" w:space="0" w:color="auto"/>
        </w:rPr>
        <w:t>The Digital Caravan program can be customized for each municipality while following a general structure that may cover topics and formats such as e-governance, digital skills, open data, digital economy, and digital literacy</w:t>
      </w:r>
      <w:r w:rsidR="004B18F2">
        <w:rPr>
          <w:rFonts w:eastAsia="Times New Roman" w:cstheme="majorBidi"/>
        </w:rPr>
        <w:t>.</w:t>
      </w:r>
    </w:p>
    <w:p w14:paraId="248B39F9" w14:textId="3B74C538" w:rsidR="00000720" w:rsidRPr="004B18F2" w:rsidRDefault="00E87DC4" w:rsidP="004B18F2">
      <w:pPr>
        <w:pStyle w:val="Bulit"/>
        <w:numPr>
          <w:ilvl w:val="0"/>
          <w:numId w:val="0"/>
        </w:numPr>
        <w:rPr>
          <w:rFonts w:eastAsia="Times New Roman" w:cstheme="majorBidi"/>
        </w:rPr>
      </w:pPr>
      <w:r w:rsidRPr="00E87DC4">
        <w:rPr>
          <w:spacing w:val="-2"/>
          <w:szCs w:val="22"/>
        </w:rPr>
        <w:t>The Consultant shall provide services under lump sum Contract paid upon acceptance of deliverables. The Consultant shall perform the Services until the Closing Date of the Project is May 31, 2026</w:t>
      </w:r>
      <w:r w:rsidR="00000720" w:rsidRPr="004B18F2">
        <w:rPr>
          <w:spacing w:val="-2"/>
          <w:szCs w:val="22"/>
        </w:rPr>
        <w:t>.</w:t>
      </w:r>
    </w:p>
    <w:p w14:paraId="5ECD7EAA" w14:textId="22BC7E4E" w:rsidR="00AD2E13" w:rsidRDefault="00AD2E13" w:rsidP="00F648FF">
      <w:pPr>
        <w:suppressAutoHyphens/>
        <w:spacing w:before="120" w:after="120"/>
        <w:jc w:val="both"/>
      </w:pPr>
      <w:r w:rsidRPr="00AD2E13">
        <w:rPr>
          <w:rFonts w:ascii="Times New Roman" w:hAnsi="Times New Roman"/>
          <w:spacing w:val="-2"/>
          <w:szCs w:val="22"/>
        </w:rPr>
        <w:t>The detailed Terms of Reference</w:t>
      </w:r>
      <w:r w:rsidR="00930962">
        <w:rPr>
          <w:rFonts w:ascii="Times New Roman" w:hAnsi="Times New Roman"/>
          <w:spacing w:val="-2"/>
          <w:szCs w:val="22"/>
        </w:rPr>
        <w:t xml:space="preserve"> (ToR)</w:t>
      </w:r>
      <w:r w:rsidRPr="00AD2E13">
        <w:rPr>
          <w:rFonts w:ascii="Times New Roman" w:hAnsi="Times New Roman"/>
          <w:spacing w:val="-2"/>
          <w:szCs w:val="22"/>
        </w:rPr>
        <w:t xml:space="preserve"> </w:t>
      </w:r>
      <w:r w:rsidR="00822D7D">
        <w:rPr>
          <w:rFonts w:ascii="Times New Roman" w:hAnsi="Times New Roman"/>
          <w:spacing w:val="-2"/>
          <w:szCs w:val="22"/>
        </w:rPr>
        <w:t xml:space="preserve">and Request for Expressions of Interest (REoI) </w:t>
      </w:r>
      <w:r w:rsidRPr="00AD2E13">
        <w:rPr>
          <w:rFonts w:ascii="Times New Roman" w:hAnsi="Times New Roman"/>
          <w:spacing w:val="-2"/>
          <w:szCs w:val="22"/>
        </w:rPr>
        <w:t xml:space="preserve">for the above referenced consulting services </w:t>
      </w:r>
      <w:r w:rsidR="00822D7D">
        <w:rPr>
          <w:rFonts w:ascii="Times New Roman" w:hAnsi="Times New Roman"/>
          <w:spacing w:val="-2"/>
          <w:szCs w:val="22"/>
        </w:rPr>
        <w:t>are</w:t>
      </w:r>
      <w:r w:rsidRPr="00AD2E13">
        <w:rPr>
          <w:rFonts w:ascii="Times New Roman" w:hAnsi="Times New Roman"/>
          <w:spacing w:val="-2"/>
          <w:szCs w:val="22"/>
        </w:rPr>
        <w:t xml:space="preserve"> posted on the website of the </w:t>
      </w:r>
      <w:r w:rsidR="007A40C5">
        <w:rPr>
          <w:rFonts w:ascii="Times New Roman" w:hAnsi="Times New Roman"/>
          <w:spacing w:val="-2"/>
          <w:szCs w:val="22"/>
        </w:rPr>
        <w:t>OITeG</w:t>
      </w:r>
      <w:r w:rsidRPr="00AD2E13">
        <w:rPr>
          <w:rFonts w:ascii="Times New Roman" w:hAnsi="Times New Roman"/>
          <w:spacing w:val="-2"/>
          <w:szCs w:val="22"/>
        </w:rPr>
        <w:t xml:space="preserve"> at </w:t>
      </w:r>
      <w:r w:rsidR="000343DE" w:rsidRPr="000343DE">
        <w:t>https://www.ite.gov.rs/tekst/en/312/edge.php</w:t>
      </w:r>
    </w:p>
    <w:p w14:paraId="0C812451" w14:textId="77777777" w:rsidR="007E72D3" w:rsidRDefault="009830E4" w:rsidP="00F648FF">
      <w:pPr>
        <w:suppressAutoHyphens/>
        <w:spacing w:before="120" w:after="120"/>
        <w:jc w:val="both"/>
        <w:rPr>
          <w:rFonts w:ascii="Times New Roman" w:hAnsi="Times New Roman"/>
          <w:spacing w:val="-2"/>
          <w:szCs w:val="22"/>
        </w:rPr>
      </w:pPr>
      <w:r w:rsidRPr="0037139E">
        <w:rPr>
          <w:rFonts w:ascii="Times New Roman" w:hAnsi="Times New Roman"/>
          <w:spacing w:val="-2"/>
          <w:szCs w:val="22"/>
        </w:rPr>
        <w:t xml:space="preserve">The </w:t>
      </w:r>
      <w:r w:rsidR="00CE0D2A">
        <w:rPr>
          <w:rFonts w:ascii="Times New Roman" w:hAnsi="Times New Roman"/>
          <w:spacing w:val="-2"/>
          <w:szCs w:val="22"/>
        </w:rPr>
        <w:t xml:space="preserve">Central Fiduciary Unit (CFU) of the </w:t>
      </w:r>
      <w:r w:rsidR="00332518" w:rsidRPr="0037139E">
        <w:rPr>
          <w:rFonts w:ascii="Times New Roman" w:hAnsi="Times New Roman"/>
          <w:spacing w:val="-2"/>
          <w:szCs w:val="22"/>
        </w:rPr>
        <w:t xml:space="preserve">Ministry of Finance </w:t>
      </w:r>
      <w:r w:rsidR="001D70EB" w:rsidRPr="0037139E">
        <w:rPr>
          <w:rFonts w:ascii="Times New Roman" w:hAnsi="Times New Roman"/>
          <w:spacing w:val="-2"/>
          <w:szCs w:val="22"/>
        </w:rPr>
        <w:t>now invites eligible consulting firms</w:t>
      </w:r>
      <w:r w:rsidRPr="0037139E">
        <w:rPr>
          <w:rFonts w:ascii="Times New Roman" w:hAnsi="Times New Roman"/>
          <w:spacing w:val="-2"/>
          <w:szCs w:val="22"/>
        </w:rPr>
        <w:t xml:space="preserve"> </w:t>
      </w:r>
      <w:r w:rsidR="001D70EB" w:rsidRPr="0037139E">
        <w:rPr>
          <w:rFonts w:ascii="Times New Roman" w:hAnsi="Times New Roman"/>
          <w:spacing w:val="-2"/>
          <w:szCs w:val="22"/>
        </w:rPr>
        <w:t xml:space="preserve">(“Consultants”) </w:t>
      </w:r>
      <w:r w:rsidRPr="0037139E">
        <w:rPr>
          <w:rFonts w:ascii="Times New Roman" w:hAnsi="Times New Roman"/>
          <w:spacing w:val="-2"/>
          <w:szCs w:val="22"/>
        </w:rPr>
        <w:t xml:space="preserve">to indicate their interest in providing the </w:t>
      </w:r>
      <w:r w:rsidR="006D6898" w:rsidRPr="0037139E">
        <w:rPr>
          <w:rFonts w:ascii="Times New Roman" w:hAnsi="Times New Roman"/>
          <w:spacing w:val="-2"/>
          <w:szCs w:val="22"/>
        </w:rPr>
        <w:t>S</w:t>
      </w:r>
      <w:r w:rsidRPr="0037139E">
        <w:rPr>
          <w:rFonts w:ascii="Times New Roman" w:hAnsi="Times New Roman"/>
          <w:spacing w:val="-2"/>
          <w:szCs w:val="22"/>
        </w:rPr>
        <w:t xml:space="preserve">ervices. Interested </w:t>
      </w:r>
      <w:r w:rsidR="001D70EB" w:rsidRPr="0037139E">
        <w:rPr>
          <w:rFonts w:ascii="Times New Roman" w:hAnsi="Times New Roman"/>
          <w:spacing w:val="-2"/>
          <w:szCs w:val="22"/>
        </w:rPr>
        <w:t>C</w:t>
      </w:r>
      <w:r w:rsidRPr="0037139E">
        <w:rPr>
          <w:rFonts w:ascii="Times New Roman" w:hAnsi="Times New Roman"/>
          <w:spacing w:val="-2"/>
          <w:szCs w:val="22"/>
        </w:rPr>
        <w:t xml:space="preserve">onsultants </w:t>
      </w:r>
      <w:r w:rsidR="00E07E32" w:rsidRPr="0037139E">
        <w:rPr>
          <w:rFonts w:ascii="Times New Roman" w:hAnsi="Times New Roman"/>
          <w:spacing w:val="-2"/>
          <w:szCs w:val="22"/>
        </w:rPr>
        <w:t>should</w:t>
      </w:r>
      <w:r w:rsidRPr="0037139E">
        <w:rPr>
          <w:rFonts w:ascii="Times New Roman" w:hAnsi="Times New Roman"/>
          <w:spacing w:val="-2"/>
          <w:szCs w:val="22"/>
        </w:rPr>
        <w:t xml:space="preserve"> provide information </w:t>
      </w:r>
      <w:r w:rsidR="006D6898" w:rsidRPr="0037139E">
        <w:rPr>
          <w:rFonts w:ascii="Times New Roman" w:hAnsi="Times New Roman"/>
          <w:spacing w:val="-2"/>
          <w:szCs w:val="22"/>
        </w:rPr>
        <w:t xml:space="preserve">demonstrating </w:t>
      </w:r>
      <w:r w:rsidRPr="0037139E">
        <w:rPr>
          <w:rFonts w:ascii="Times New Roman" w:hAnsi="Times New Roman"/>
          <w:spacing w:val="-2"/>
          <w:szCs w:val="22"/>
        </w:rPr>
        <w:t xml:space="preserve">that they </w:t>
      </w:r>
      <w:r w:rsidR="00E07E32" w:rsidRPr="0037139E">
        <w:rPr>
          <w:rFonts w:ascii="Times New Roman" w:hAnsi="Times New Roman"/>
          <w:spacing w:val="-2"/>
          <w:szCs w:val="22"/>
        </w:rPr>
        <w:t xml:space="preserve">have the required qualifications and </w:t>
      </w:r>
      <w:r w:rsidR="00916E24" w:rsidRPr="0037139E">
        <w:rPr>
          <w:rFonts w:ascii="Times New Roman" w:hAnsi="Times New Roman"/>
          <w:spacing w:val="-2"/>
          <w:szCs w:val="22"/>
        </w:rPr>
        <w:t xml:space="preserve">relevant </w:t>
      </w:r>
      <w:r w:rsidR="00E07E32" w:rsidRPr="0037139E">
        <w:rPr>
          <w:rFonts w:ascii="Times New Roman" w:hAnsi="Times New Roman"/>
          <w:spacing w:val="-2"/>
          <w:szCs w:val="22"/>
        </w:rPr>
        <w:t>experience</w:t>
      </w:r>
      <w:r w:rsidRPr="0037139E">
        <w:rPr>
          <w:rFonts w:ascii="Times New Roman" w:hAnsi="Times New Roman"/>
          <w:spacing w:val="-2"/>
          <w:szCs w:val="22"/>
        </w:rPr>
        <w:t xml:space="preserve"> to perform the </w:t>
      </w:r>
      <w:r w:rsidR="006D6898" w:rsidRPr="0037139E">
        <w:rPr>
          <w:rFonts w:ascii="Times New Roman" w:hAnsi="Times New Roman"/>
          <w:spacing w:val="-2"/>
          <w:szCs w:val="22"/>
        </w:rPr>
        <w:t>S</w:t>
      </w:r>
      <w:r w:rsidRPr="0037139E">
        <w:rPr>
          <w:rFonts w:ascii="Times New Roman" w:hAnsi="Times New Roman"/>
          <w:spacing w:val="-2"/>
          <w:szCs w:val="22"/>
        </w:rPr>
        <w:t>ervices</w:t>
      </w:r>
      <w:r w:rsidR="000C4041" w:rsidRPr="0037139E">
        <w:rPr>
          <w:rFonts w:ascii="Times New Roman" w:hAnsi="Times New Roman"/>
          <w:spacing w:val="-2"/>
          <w:szCs w:val="22"/>
        </w:rPr>
        <w:t>.</w:t>
      </w:r>
      <w:r w:rsidRPr="0037139E">
        <w:rPr>
          <w:rFonts w:ascii="Times New Roman" w:hAnsi="Times New Roman"/>
          <w:spacing w:val="-2"/>
          <w:szCs w:val="22"/>
        </w:rPr>
        <w:t xml:space="preserve"> </w:t>
      </w:r>
    </w:p>
    <w:p w14:paraId="515AE1C2" w14:textId="77777777" w:rsidR="007D1C85" w:rsidRPr="0037139E" w:rsidRDefault="007D1C85" w:rsidP="007D1C85">
      <w:pPr>
        <w:suppressAutoHyphens/>
        <w:spacing w:before="120" w:after="120"/>
        <w:jc w:val="both"/>
        <w:rPr>
          <w:rFonts w:ascii="Times New Roman" w:hAnsi="Times New Roman"/>
          <w:spacing w:val="-2"/>
          <w:szCs w:val="22"/>
        </w:rPr>
      </w:pPr>
      <w:r w:rsidRPr="0037139E">
        <w:rPr>
          <w:rFonts w:ascii="Times New Roman" w:hAnsi="Times New Roman"/>
          <w:spacing w:val="-2"/>
          <w:szCs w:val="22"/>
        </w:rPr>
        <w:t xml:space="preserve">The short listing criteria are: </w:t>
      </w:r>
    </w:p>
    <w:tbl>
      <w:tblPr>
        <w:tblStyle w:val="TableGrid"/>
        <w:tblW w:w="10980" w:type="dxa"/>
        <w:tblInd w:w="108" w:type="dxa"/>
        <w:tblLook w:val="04A0" w:firstRow="1" w:lastRow="0" w:firstColumn="1" w:lastColumn="0" w:noHBand="0" w:noVBand="1"/>
      </w:tblPr>
      <w:tblGrid>
        <w:gridCol w:w="400"/>
        <w:gridCol w:w="9230"/>
        <w:gridCol w:w="1350"/>
      </w:tblGrid>
      <w:tr w:rsidR="007D1C85" w:rsidRPr="0037139E" w14:paraId="6FCA6345" w14:textId="77777777" w:rsidTr="003E56E4">
        <w:trPr>
          <w:trHeight w:val="276"/>
        </w:trPr>
        <w:tc>
          <w:tcPr>
            <w:tcW w:w="400" w:type="dxa"/>
            <w:vAlign w:val="center"/>
          </w:tcPr>
          <w:p w14:paraId="2693C15F" w14:textId="77777777" w:rsidR="007D1C85" w:rsidRPr="0037139E" w:rsidRDefault="007D1C85" w:rsidP="003E56E4">
            <w:pPr>
              <w:pStyle w:val="ListParagraph"/>
              <w:ind w:left="0"/>
              <w:jc w:val="center"/>
              <w:rPr>
                <w:rFonts w:ascii="Times New Roman" w:hAnsi="Times New Roman" w:cs="Times New Roman"/>
                <w:i/>
              </w:rPr>
            </w:pPr>
            <w:r w:rsidRPr="0037139E">
              <w:rPr>
                <w:rFonts w:ascii="Times New Roman" w:hAnsi="Times New Roman" w:cs="Times New Roman"/>
                <w:i/>
              </w:rPr>
              <w:t>#</w:t>
            </w:r>
          </w:p>
        </w:tc>
        <w:tc>
          <w:tcPr>
            <w:tcW w:w="9230" w:type="dxa"/>
            <w:vAlign w:val="center"/>
          </w:tcPr>
          <w:p w14:paraId="0D6E1096" w14:textId="77777777" w:rsidR="007D1C85" w:rsidRPr="007D1C85" w:rsidRDefault="007D1C85" w:rsidP="003E56E4">
            <w:pPr>
              <w:pStyle w:val="ListParagraph"/>
              <w:ind w:left="0"/>
              <w:jc w:val="center"/>
              <w:rPr>
                <w:rFonts w:ascii="Times New Roman" w:hAnsi="Times New Roman" w:cs="Times New Roman"/>
                <w:b/>
                <w:i/>
                <w:u w:val="single"/>
              </w:rPr>
            </w:pPr>
            <w:r w:rsidRPr="007D1C85">
              <w:rPr>
                <w:rFonts w:ascii="Times New Roman" w:hAnsi="Times New Roman" w:cs="Times New Roman"/>
                <w:i/>
              </w:rPr>
              <w:t>Criteria</w:t>
            </w:r>
          </w:p>
        </w:tc>
        <w:tc>
          <w:tcPr>
            <w:tcW w:w="1350" w:type="dxa"/>
            <w:vAlign w:val="center"/>
          </w:tcPr>
          <w:p w14:paraId="527F1160" w14:textId="77777777" w:rsidR="007D1C85" w:rsidRPr="007D1C85" w:rsidRDefault="007D1C85" w:rsidP="003E56E4">
            <w:pPr>
              <w:jc w:val="center"/>
              <w:rPr>
                <w:rFonts w:ascii="Times New Roman" w:hAnsi="Times New Roman" w:cs="Times New Roman"/>
                <w:i/>
              </w:rPr>
            </w:pPr>
            <w:r w:rsidRPr="007D1C85">
              <w:rPr>
                <w:rFonts w:ascii="Times New Roman" w:hAnsi="Times New Roman" w:cs="Times New Roman"/>
                <w:i/>
              </w:rPr>
              <w:t>Weight</w:t>
            </w:r>
          </w:p>
        </w:tc>
      </w:tr>
      <w:tr w:rsidR="007D1C85" w:rsidRPr="0037139E" w14:paraId="5574E484" w14:textId="77777777" w:rsidTr="003E56E4">
        <w:trPr>
          <w:trHeight w:val="413"/>
        </w:trPr>
        <w:tc>
          <w:tcPr>
            <w:tcW w:w="400" w:type="dxa"/>
            <w:vAlign w:val="center"/>
          </w:tcPr>
          <w:p w14:paraId="424F2E46" w14:textId="77777777" w:rsidR="007D1C85" w:rsidRPr="0037139E" w:rsidRDefault="007D1C85" w:rsidP="003E56E4">
            <w:pPr>
              <w:pStyle w:val="ListParagraph"/>
              <w:ind w:left="0"/>
              <w:jc w:val="center"/>
              <w:rPr>
                <w:rFonts w:ascii="Times New Roman" w:hAnsi="Times New Roman" w:cs="Times New Roman"/>
              </w:rPr>
            </w:pPr>
            <w:r w:rsidRPr="0037139E">
              <w:rPr>
                <w:rFonts w:ascii="Times New Roman" w:hAnsi="Times New Roman" w:cs="Times New Roman"/>
              </w:rPr>
              <w:lastRenderedPageBreak/>
              <w:t>1</w:t>
            </w:r>
          </w:p>
        </w:tc>
        <w:tc>
          <w:tcPr>
            <w:tcW w:w="9230" w:type="dxa"/>
            <w:vAlign w:val="center"/>
          </w:tcPr>
          <w:p w14:paraId="72AF15F5" w14:textId="2DB116D4" w:rsidR="007D1C85" w:rsidRPr="005377AC" w:rsidRDefault="007D1C85" w:rsidP="00905385">
            <w:pPr>
              <w:pStyle w:val="ListParagraph"/>
              <w:ind w:left="0"/>
              <w:jc w:val="left"/>
              <w:rPr>
                <w:rFonts w:ascii="Times New Roman" w:hAnsi="Times New Roman" w:cs="Times New Roman"/>
              </w:rPr>
            </w:pPr>
            <w:r w:rsidRPr="005377AC">
              <w:rPr>
                <w:rFonts w:ascii="Times New Roman" w:hAnsi="Times New Roman" w:cs="Times New Roman"/>
              </w:rPr>
              <w:t xml:space="preserve">General experience of the </w:t>
            </w:r>
            <w:r w:rsidR="00905385">
              <w:rPr>
                <w:rFonts w:ascii="Times New Roman" w:hAnsi="Times New Roman" w:cs="Times New Roman"/>
              </w:rPr>
              <w:t>firm</w:t>
            </w:r>
          </w:p>
        </w:tc>
        <w:tc>
          <w:tcPr>
            <w:tcW w:w="1350" w:type="dxa"/>
            <w:vAlign w:val="center"/>
          </w:tcPr>
          <w:p w14:paraId="41EA52BD" w14:textId="06D18229" w:rsidR="007D1C85" w:rsidRPr="005377AC" w:rsidRDefault="00905385" w:rsidP="003E56E4">
            <w:pPr>
              <w:jc w:val="center"/>
              <w:rPr>
                <w:rFonts w:ascii="Times New Roman" w:hAnsi="Times New Roman" w:cs="Times New Roman"/>
                <w:b/>
              </w:rPr>
            </w:pPr>
            <w:r>
              <w:rPr>
                <w:rFonts w:ascii="Times New Roman" w:hAnsi="Times New Roman" w:cs="Times New Roman"/>
                <w:b/>
              </w:rPr>
              <w:t>5</w:t>
            </w:r>
            <w:r w:rsidR="007D1C85" w:rsidRPr="005377AC">
              <w:rPr>
                <w:rFonts w:ascii="Times New Roman" w:hAnsi="Times New Roman" w:cs="Times New Roman"/>
                <w:b/>
              </w:rPr>
              <w:t>0</w:t>
            </w:r>
          </w:p>
        </w:tc>
      </w:tr>
      <w:tr w:rsidR="007D1C85" w:rsidRPr="0037139E" w14:paraId="4D35301A" w14:textId="77777777" w:rsidTr="003E56E4">
        <w:trPr>
          <w:trHeight w:val="620"/>
        </w:trPr>
        <w:tc>
          <w:tcPr>
            <w:tcW w:w="400" w:type="dxa"/>
            <w:vAlign w:val="center"/>
          </w:tcPr>
          <w:p w14:paraId="006F7D37" w14:textId="77777777" w:rsidR="007D1C85" w:rsidRPr="0037139E" w:rsidRDefault="007D1C85" w:rsidP="003E56E4">
            <w:pPr>
              <w:pStyle w:val="ListParagraph"/>
              <w:ind w:left="0"/>
              <w:jc w:val="center"/>
              <w:rPr>
                <w:rFonts w:ascii="Times New Roman" w:hAnsi="Times New Roman" w:cs="Times New Roman"/>
              </w:rPr>
            </w:pPr>
            <w:r w:rsidRPr="0037139E">
              <w:rPr>
                <w:rFonts w:ascii="Times New Roman" w:hAnsi="Times New Roman" w:cs="Times New Roman"/>
              </w:rPr>
              <w:t>2</w:t>
            </w:r>
          </w:p>
        </w:tc>
        <w:tc>
          <w:tcPr>
            <w:tcW w:w="9230" w:type="dxa"/>
            <w:vAlign w:val="center"/>
          </w:tcPr>
          <w:p w14:paraId="5023519D" w14:textId="39BB5729" w:rsidR="007D1C85" w:rsidRPr="005377AC" w:rsidRDefault="007D1C85" w:rsidP="00D26B12">
            <w:pPr>
              <w:pStyle w:val="ListParagraph"/>
              <w:ind w:left="0"/>
              <w:rPr>
                <w:rFonts w:ascii="Times New Roman" w:hAnsi="Times New Roman" w:cs="Times New Roman"/>
                <w:b/>
                <w:u w:val="single"/>
              </w:rPr>
            </w:pPr>
            <w:r w:rsidRPr="005377AC">
              <w:rPr>
                <w:rFonts w:ascii="Times New Roman" w:hAnsi="Times New Roman" w:cs="Times New Roman"/>
              </w:rPr>
              <w:t>Specific experience</w:t>
            </w:r>
            <w:r w:rsidR="00D26B12">
              <w:rPr>
                <w:rFonts w:ascii="Times New Roman" w:hAnsi="Times New Roman" w:cs="Times New Roman"/>
              </w:rPr>
              <w:t xml:space="preserve"> of the firm</w:t>
            </w:r>
            <w:r w:rsidRPr="005377AC">
              <w:rPr>
                <w:rFonts w:ascii="Times New Roman" w:hAnsi="Times New Roman" w:cs="Times New Roman"/>
              </w:rPr>
              <w:t xml:space="preserve"> rel</w:t>
            </w:r>
            <w:r w:rsidR="00D26B12">
              <w:rPr>
                <w:rFonts w:ascii="Times New Roman" w:hAnsi="Times New Roman" w:cs="Times New Roman"/>
              </w:rPr>
              <w:t>ated</w:t>
            </w:r>
            <w:r w:rsidRPr="005377AC">
              <w:rPr>
                <w:rFonts w:ascii="Times New Roman" w:hAnsi="Times New Roman" w:cs="Times New Roman"/>
              </w:rPr>
              <w:t xml:space="preserve"> to the assignment</w:t>
            </w:r>
          </w:p>
        </w:tc>
        <w:tc>
          <w:tcPr>
            <w:tcW w:w="1350" w:type="dxa"/>
            <w:vAlign w:val="center"/>
          </w:tcPr>
          <w:p w14:paraId="75FEDB6F" w14:textId="56EAEF21" w:rsidR="007D1C85" w:rsidRPr="005377AC" w:rsidRDefault="00905385" w:rsidP="003E56E4">
            <w:pPr>
              <w:pStyle w:val="ListParagraph"/>
              <w:ind w:left="0"/>
              <w:jc w:val="center"/>
              <w:rPr>
                <w:rFonts w:ascii="Times New Roman" w:hAnsi="Times New Roman" w:cs="Times New Roman"/>
                <w:b/>
              </w:rPr>
            </w:pPr>
            <w:r>
              <w:rPr>
                <w:rFonts w:ascii="Times New Roman" w:hAnsi="Times New Roman" w:cs="Times New Roman"/>
                <w:b/>
              </w:rPr>
              <w:t>5</w:t>
            </w:r>
            <w:r w:rsidR="007D1C85" w:rsidRPr="005377AC">
              <w:rPr>
                <w:rFonts w:ascii="Times New Roman" w:hAnsi="Times New Roman" w:cs="Times New Roman"/>
                <w:b/>
              </w:rPr>
              <w:t>0</w:t>
            </w:r>
          </w:p>
        </w:tc>
      </w:tr>
    </w:tbl>
    <w:p w14:paraId="108C0297" w14:textId="4022F99A" w:rsidR="004B18F2" w:rsidRPr="004B18F2" w:rsidRDefault="004B18F2" w:rsidP="004B18F2">
      <w:pPr>
        <w:pStyle w:val="Heading1"/>
        <w:tabs>
          <w:tab w:val="clear" w:pos="-720"/>
        </w:tabs>
        <w:suppressAutoHyphens w:val="0"/>
        <w:spacing w:before="360" w:after="80" w:line="259" w:lineRule="auto"/>
        <w:ind w:left="714" w:hanging="357"/>
        <w:jc w:val="both"/>
        <w:rPr>
          <w:rFonts w:cstheme="majorBidi"/>
          <w:bCs/>
          <w:smallCaps w:val="0"/>
          <w:kern w:val="2"/>
          <w:sz w:val="22"/>
          <w:szCs w:val="40"/>
          <w14:ligatures w14:val="standardContextual"/>
        </w:rPr>
      </w:pPr>
      <w:r>
        <w:rPr>
          <w:rFonts w:cstheme="majorBidi"/>
          <w:bCs/>
          <w:smallCaps w:val="0"/>
          <w:kern w:val="2"/>
          <w:sz w:val="22"/>
          <w:szCs w:val="40"/>
          <w14:ligatures w14:val="standardContextual"/>
        </w:rPr>
        <w:t>Consultant Qualifications:</w:t>
      </w:r>
    </w:p>
    <w:p w14:paraId="34A5C864" w14:textId="77777777" w:rsidR="00E87DC4" w:rsidRPr="00E87DC4" w:rsidRDefault="00E87DC4" w:rsidP="00E87DC4">
      <w:pPr>
        <w:pStyle w:val="Bulit"/>
        <w:rPr>
          <w:rFonts w:eastAsia="Arial Unicode MS" w:cstheme="majorBidi"/>
        </w:rPr>
      </w:pPr>
      <w:r w:rsidRPr="00E87DC4">
        <w:rPr>
          <w:rFonts w:eastAsia="Arial Unicode MS" w:cstheme="majorBidi"/>
        </w:rPr>
        <w:t xml:space="preserve">The Consulting firm must demonstrate substantial experience in supporting digital transformation initiatives. </w:t>
      </w:r>
    </w:p>
    <w:p w14:paraId="57057181" w14:textId="77777777" w:rsidR="00E87DC4" w:rsidRPr="00E87DC4" w:rsidRDefault="00E87DC4" w:rsidP="00E87DC4">
      <w:pPr>
        <w:pStyle w:val="Bulit"/>
        <w:rPr>
          <w:rFonts w:eastAsia="Arial Unicode MS" w:cstheme="majorBidi"/>
        </w:rPr>
      </w:pPr>
      <w:r w:rsidRPr="00E87DC4">
        <w:rPr>
          <w:rFonts w:eastAsia="Arial Unicode MS" w:cstheme="majorBidi"/>
        </w:rPr>
        <w:t>Proven experience in successfully implementing digital transformation projects in the public sector, particularly those enhancing citizen-centric services, will be considered a strong advantage.</w:t>
      </w:r>
    </w:p>
    <w:p w14:paraId="06E03F27" w14:textId="77777777" w:rsidR="00E87DC4" w:rsidRPr="00E87DC4" w:rsidRDefault="00E87DC4" w:rsidP="00E87DC4">
      <w:pPr>
        <w:pStyle w:val="Bulit"/>
        <w:rPr>
          <w:rFonts w:eastAsia="Arial Unicode MS" w:cstheme="majorBidi"/>
        </w:rPr>
      </w:pPr>
      <w:r w:rsidRPr="00E87DC4">
        <w:rPr>
          <w:rFonts w:eastAsia="Arial Unicode MS" w:cstheme="majorBidi"/>
        </w:rPr>
        <w:t xml:space="preserve">The consulting firm must have experience working directly with local governments (municipalities and cities), including supporting institutional capacity building, improving digital services, and integrating local administrations into national eGovernment platforms. </w:t>
      </w:r>
    </w:p>
    <w:p w14:paraId="63E3741D" w14:textId="77777777" w:rsidR="00E87DC4" w:rsidRPr="00E87DC4" w:rsidRDefault="00E87DC4" w:rsidP="00E87DC4">
      <w:pPr>
        <w:pStyle w:val="Bulit"/>
        <w:rPr>
          <w:rFonts w:eastAsia="Arial Unicode MS" w:cstheme="majorBidi"/>
        </w:rPr>
      </w:pPr>
      <w:r w:rsidRPr="00E87DC4">
        <w:rPr>
          <w:rFonts w:eastAsia="Arial Unicode MS" w:cstheme="majorBidi"/>
        </w:rPr>
        <w:t>Experience in mentoring, training, implementing digital tools, and maintaining a network of local partners in cooperation with public administration will be considered a strong advantage.</w:t>
      </w:r>
    </w:p>
    <w:p w14:paraId="27EA582D" w14:textId="77777777" w:rsidR="00E87DC4" w:rsidRPr="00E87DC4" w:rsidRDefault="00E87DC4" w:rsidP="00E87DC4">
      <w:pPr>
        <w:pStyle w:val="Bulit"/>
        <w:rPr>
          <w:rFonts w:eastAsia="Arial Unicode MS" w:cstheme="majorBidi"/>
        </w:rPr>
      </w:pPr>
      <w:r w:rsidRPr="00E87DC4">
        <w:rPr>
          <w:rFonts w:eastAsia="Arial Unicode MS" w:cstheme="majorBidi"/>
        </w:rPr>
        <w:t>The consulting firm must have experience engaging a wide range of local stakeholders — including local governments, civil society, academia, healthcare and educational institutions — to support digital inclusion and the sustainable development of local digital capacities.</w:t>
      </w:r>
    </w:p>
    <w:p w14:paraId="64456F71" w14:textId="77777777" w:rsidR="00E87DC4" w:rsidRPr="00E87DC4" w:rsidRDefault="00E87DC4" w:rsidP="00E87DC4">
      <w:pPr>
        <w:pStyle w:val="Bulit"/>
        <w:rPr>
          <w:rFonts w:eastAsia="Arial Unicode MS" w:cstheme="majorBidi"/>
        </w:rPr>
      </w:pPr>
      <w:r w:rsidRPr="00E87DC4">
        <w:rPr>
          <w:rFonts w:eastAsia="Arial Unicode MS" w:cstheme="majorBidi"/>
        </w:rPr>
        <w:t>The Consulting firm must demonstrate the ability to conduct detailed user experience research and assess local digital needs in order to identify gaps in existing services and develop targeted recommendations for improving digital inclusion and the quality of e-services.</w:t>
      </w:r>
    </w:p>
    <w:p w14:paraId="56D12BA0" w14:textId="77777777" w:rsidR="00E87DC4" w:rsidRPr="00E87DC4" w:rsidRDefault="00E87DC4" w:rsidP="00E87DC4">
      <w:pPr>
        <w:pStyle w:val="Bulit"/>
        <w:rPr>
          <w:rFonts w:eastAsia="Arial Unicode MS" w:cstheme="majorBidi"/>
        </w:rPr>
      </w:pPr>
      <w:r w:rsidRPr="00E87DC4">
        <w:rPr>
          <w:rFonts w:eastAsia="Arial Unicode MS" w:cstheme="majorBidi"/>
        </w:rPr>
        <w:t>The Consulting firm must prove expertise in developing methodological frameworks, strategic and operational plans, as well as preparing timely and high-quality reports with analyses and recommendations for key national and local decision makers.</w:t>
      </w:r>
    </w:p>
    <w:p w14:paraId="31837058" w14:textId="77777777" w:rsidR="00E87DC4" w:rsidRPr="00E87DC4" w:rsidRDefault="00E87DC4" w:rsidP="00E87DC4">
      <w:pPr>
        <w:pStyle w:val="Bulit"/>
        <w:rPr>
          <w:rFonts w:eastAsia="Arial Unicode MS" w:cstheme="majorBidi"/>
        </w:rPr>
      </w:pPr>
      <w:r w:rsidRPr="00E87DC4">
        <w:rPr>
          <w:rFonts w:eastAsia="Arial Unicode MS" w:cstheme="majorBidi"/>
        </w:rPr>
        <w:t>Experience with projects funded by or carried out in partnership with the World Bank, along with familiarity with digital transformation initiatives, will be highly advantageous.</w:t>
      </w:r>
    </w:p>
    <w:p w14:paraId="1A79A3EE" w14:textId="77777777" w:rsidR="00E87DC4" w:rsidRPr="00E87DC4" w:rsidRDefault="00E87DC4" w:rsidP="00E87DC4">
      <w:pPr>
        <w:pStyle w:val="Bulit"/>
        <w:rPr>
          <w:rFonts w:eastAsia="Arial Unicode MS" w:cstheme="majorBidi"/>
        </w:rPr>
      </w:pPr>
      <w:r w:rsidRPr="00E87DC4">
        <w:rPr>
          <w:rFonts w:eastAsia="Arial Unicode MS" w:cstheme="majorBidi"/>
        </w:rPr>
        <w:t>Experience in partnerships with relevant government institutions (such as the Office for IT and eGovernment, Ministry of Information and Telecommunication, and others) as well as with international donors and organizations, will be an additional plus.</w:t>
      </w:r>
    </w:p>
    <w:p w14:paraId="7EC95257" w14:textId="4792B1A2" w:rsidR="007A40C5" w:rsidRPr="004B18F2" w:rsidRDefault="00E87DC4" w:rsidP="00E87DC4">
      <w:pPr>
        <w:pStyle w:val="Bulit"/>
        <w:rPr>
          <w:rFonts w:eastAsia="Arial Unicode MS" w:cstheme="majorBidi"/>
        </w:rPr>
      </w:pPr>
      <w:r w:rsidRPr="00E87DC4">
        <w:rPr>
          <w:rFonts w:eastAsia="Arial Unicode MS" w:cstheme="majorBidi"/>
        </w:rPr>
        <w:t>The Consulting firm must demonstrate a sound knowledge of the Serbian legal and institutional framework relevant to digital governance and administrative procedures</w:t>
      </w:r>
      <w:r w:rsidR="00993F6C" w:rsidRPr="004B18F2">
        <w:rPr>
          <w:spacing w:val="-2"/>
          <w:szCs w:val="22"/>
        </w:rPr>
        <w:t>.</w:t>
      </w:r>
    </w:p>
    <w:p w14:paraId="502B4F14" w14:textId="720EA34F" w:rsidR="00DC1D70" w:rsidRPr="00ED3305" w:rsidRDefault="00DC1D70" w:rsidP="00DC1D70">
      <w:pPr>
        <w:suppressAutoHyphens/>
        <w:jc w:val="both"/>
        <w:rPr>
          <w:rFonts w:ascii="Times New Roman" w:hAnsi="Times New Roman"/>
          <w:spacing w:val="-2"/>
          <w:szCs w:val="22"/>
        </w:rPr>
      </w:pPr>
      <w:r w:rsidRPr="00ED3305">
        <w:rPr>
          <w:rFonts w:ascii="Times New Roman" w:hAnsi="Times New Roman"/>
          <w:spacing w:val="-2"/>
          <w:szCs w:val="22"/>
        </w:rPr>
        <w:t xml:space="preserve">The attention of interested Consultants is drawn to paragraphs 3.14, 3.16 and 3.17 of the </w:t>
      </w:r>
      <w:r w:rsidRPr="00ED3305">
        <w:rPr>
          <w:rFonts w:ascii="Times New Roman" w:hAnsi="Times New Roman"/>
          <w:b/>
          <w:i/>
          <w:spacing w:val="-2"/>
          <w:szCs w:val="22"/>
        </w:rPr>
        <w:t xml:space="preserve">World Bank’s Procurement Regulations for IPF Borrowers – Procurement in Investment Project Financing Goods, </w:t>
      </w:r>
      <w:r w:rsidR="00965E53">
        <w:rPr>
          <w:rFonts w:ascii="Times New Roman" w:hAnsi="Times New Roman"/>
          <w:b/>
          <w:i/>
          <w:spacing w:val="-2"/>
          <w:szCs w:val="22"/>
        </w:rPr>
        <w:t>Works</w:t>
      </w:r>
      <w:r w:rsidRPr="00ED3305">
        <w:rPr>
          <w:rFonts w:ascii="Times New Roman" w:hAnsi="Times New Roman"/>
          <w:b/>
          <w:i/>
          <w:spacing w:val="-2"/>
          <w:szCs w:val="22"/>
        </w:rPr>
        <w:t>, Non-Consulting and Consulting Services (July 2016, revised November 2017 and August 2018)</w:t>
      </w:r>
      <w:r w:rsidRPr="00ED3305">
        <w:rPr>
          <w:rFonts w:ascii="Times New Roman" w:hAnsi="Times New Roman"/>
          <w:spacing w:val="-2"/>
          <w:szCs w:val="22"/>
        </w:rPr>
        <w:t xml:space="preserve"> (“the Regulations”) setting forth the World Bank’s policy on conflict of interest.  </w:t>
      </w:r>
    </w:p>
    <w:p w14:paraId="2885825E" w14:textId="77777777" w:rsidR="005D5E33" w:rsidRPr="00ED3305" w:rsidRDefault="005D5E33" w:rsidP="00E25788">
      <w:pPr>
        <w:suppressAutoHyphens/>
        <w:jc w:val="both"/>
        <w:rPr>
          <w:rFonts w:ascii="Times New Roman" w:hAnsi="Times New Roman"/>
          <w:spacing w:val="-2"/>
          <w:szCs w:val="22"/>
        </w:rPr>
      </w:pPr>
    </w:p>
    <w:p w14:paraId="24E70A4B" w14:textId="328B51AE" w:rsidR="00F17486" w:rsidRPr="00ED3305" w:rsidRDefault="00930962" w:rsidP="00E25788">
      <w:pPr>
        <w:suppressAutoHyphens/>
        <w:jc w:val="both"/>
        <w:rPr>
          <w:rFonts w:ascii="Times New Roman" w:hAnsi="Times New Roman"/>
          <w:spacing w:val="-2"/>
          <w:szCs w:val="22"/>
        </w:rPr>
      </w:pPr>
      <w:r w:rsidRPr="00ED3305">
        <w:rPr>
          <w:rFonts w:ascii="Times New Roman" w:hAnsi="Times New Roman"/>
          <w:spacing w:val="-2"/>
          <w:szCs w:val="22"/>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009830E4" w:rsidRPr="00ED3305">
        <w:rPr>
          <w:rFonts w:ascii="Times New Roman" w:hAnsi="Times New Roman"/>
          <w:spacing w:val="-2"/>
          <w:szCs w:val="22"/>
        </w:rPr>
        <w:t>.</w:t>
      </w:r>
      <w:r w:rsidR="008102FA" w:rsidRPr="008102FA">
        <w:t xml:space="preserve"> </w:t>
      </w:r>
      <w:r w:rsidR="00E87DC4">
        <w:t xml:space="preserve">Maximum number of firms in the JV is up to four. </w:t>
      </w:r>
      <w:r w:rsidR="008102FA">
        <w:rPr>
          <w:rFonts w:ascii="Times New Roman" w:hAnsi="Times New Roman"/>
          <w:spacing w:val="-2"/>
          <w:szCs w:val="22"/>
        </w:rPr>
        <w:t>Consultant shall submit reference list indicating name and description of the contract, name of the client and its representative including his/her email.</w:t>
      </w:r>
    </w:p>
    <w:p w14:paraId="4E82B749" w14:textId="77777777" w:rsidR="00F17486" w:rsidRPr="00ED3305" w:rsidRDefault="00F17486" w:rsidP="00E25788">
      <w:pPr>
        <w:suppressAutoHyphens/>
        <w:jc w:val="both"/>
        <w:rPr>
          <w:rFonts w:ascii="Times New Roman" w:hAnsi="Times New Roman"/>
          <w:spacing w:val="-2"/>
          <w:szCs w:val="22"/>
        </w:rPr>
      </w:pPr>
    </w:p>
    <w:p w14:paraId="07BE55C6" w14:textId="77777777" w:rsidR="00103B46" w:rsidRPr="00ED3305" w:rsidRDefault="0089380F" w:rsidP="00E25788">
      <w:pPr>
        <w:suppressAutoHyphens/>
        <w:jc w:val="both"/>
        <w:rPr>
          <w:rFonts w:ascii="Times New Roman" w:hAnsi="Times New Roman"/>
          <w:szCs w:val="22"/>
        </w:rPr>
      </w:pPr>
      <w:r w:rsidRPr="00ED3305">
        <w:rPr>
          <w:rFonts w:ascii="Times New Roman" w:hAnsi="Times New Roman"/>
          <w:szCs w:val="22"/>
        </w:rPr>
        <w:t>A</w:t>
      </w:r>
      <w:r w:rsidR="00103B46" w:rsidRPr="00ED3305">
        <w:rPr>
          <w:rFonts w:ascii="Times New Roman" w:hAnsi="Times New Roman"/>
          <w:szCs w:val="22"/>
        </w:rPr>
        <w:t xml:space="preserve"> Consultant will be selected in accordance with </w:t>
      </w:r>
      <w:r w:rsidRPr="00ED3305">
        <w:rPr>
          <w:rFonts w:ascii="Times New Roman" w:hAnsi="Times New Roman"/>
          <w:szCs w:val="22"/>
        </w:rPr>
        <w:t xml:space="preserve">the </w:t>
      </w:r>
      <w:r w:rsidR="00983A8E" w:rsidRPr="00ED3305">
        <w:rPr>
          <w:rFonts w:ascii="Times New Roman" w:hAnsi="Times New Roman"/>
          <w:i/>
          <w:szCs w:val="22"/>
        </w:rPr>
        <w:t xml:space="preserve">Consultant’s qualifications based selection </w:t>
      </w:r>
      <w:r w:rsidRPr="00ED3305">
        <w:rPr>
          <w:rFonts w:ascii="Times New Roman" w:hAnsi="Times New Roman"/>
          <w:i/>
          <w:szCs w:val="22"/>
        </w:rPr>
        <w:t>(CQS)</w:t>
      </w:r>
      <w:r w:rsidRPr="00ED3305">
        <w:rPr>
          <w:rFonts w:ascii="Times New Roman" w:hAnsi="Times New Roman"/>
          <w:szCs w:val="22"/>
        </w:rPr>
        <w:t xml:space="preserve"> </w:t>
      </w:r>
      <w:r w:rsidR="00103B46" w:rsidRPr="00ED3305">
        <w:rPr>
          <w:rFonts w:ascii="Times New Roman" w:hAnsi="Times New Roman"/>
          <w:szCs w:val="22"/>
        </w:rPr>
        <w:t xml:space="preserve">method </w:t>
      </w:r>
      <w:r w:rsidRPr="00ED3305">
        <w:rPr>
          <w:rFonts w:ascii="Times New Roman" w:hAnsi="Times New Roman"/>
          <w:szCs w:val="22"/>
        </w:rPr>
        <w:t xml:space="preserve">as </w:t>
      </w:r>
      <w:r w:rsidR="00103B46" w:rsidRPr="00ED3305">
        <w:rPr>
          <w:rFonts w:ascii="Times New Roman" w:hAnsi="Times New Roman"/>
          <w:szCs w:val="22"/>
        </w:rPr>
        <w:t xml:space="preserve">set out in the </w:t>
      </w:r>
      <w:r w:rsidR="00983A8E" w:rsidRPr="00ED3305">
        <w:rPr>
          <w:rFonts w:ascii="Times New Roman" w:hAnsi="Times New Roman"/>
          <w:szCs w:val="22"/>
        </w:rPr>
        <w:t>Regulations</w:t>
      </w:r>
      <w:r w:rsidR="00103B46" w:rsidRPr="00ED3305">
        <w:rPr>
          <w:rFonts w:ascii="Times New Roman" w:hAnsi="Times New Roman"/>
          <w:szCs w:val="22"/>
        </w:rPr>
        <w:t>.</w:t>
      </w:r>
    </w:p>
    <w:p w14:paraId="2BED2FC6" w14:textId="77777777" w:rsidR="00916E24" w:rsidRPr="00ED3305" w:rsidRDefault="00916E24" w:rsidP="00E25788">
      <w:pPr>
        <w:suppressAutoHyphens/>
        <w:jc w:val="both"/>
        <w:rPr>
          <w:rFonts w:ascii="Times New Roman" w:hAnsi="Times New Roman"/>
          <w:spacing w:val="-2"/>
          <w:szCs w:val="22"/>
        </w:rPr>
      </w:pPr>
    </w:p>
    <w:p w14:paraId="454E842A" w14:textId="77777777" w:rsidR="009830E4" w:rsidRPr="00ED3305" w:rsidRDefault="00916E24" w:rsidP="00E25788">
      <w:pPr>
        <w:suppressAutoHyphens/>
        <w:jc w:val="both"/>
        <w:rPr>
          <w:rFonts w:ascii="Times New Roman" w:hAnsi="Times New Roman"/>
          <w:spacing w:val="-2"/>
          <w:szCs w:val="22"/>
        </w:rPr>
      </w:pPr>
      <w:r w:rsidRPr="00ED3305">
        <w:rPr>
          <w:rFonts w:ascii="Times New Roman" w:hAnsi="Times New Roman"/>
          <w:spacing w:val="-2"/>
          <w:szCs w:val="22"/>
        </w:rPr>
        <w:t>F</w:t>
      </w:r>
      <w:r w:rsidR="009830E4" w:rsidRPr="00ED3305">
        <w:rPr>
          <w:rFonts w:ascii="Times New Roman" w:hAnsi="Times New Roman"/>
          <w:spacing w:val="-2"/>
          <w:szCs w:val="22"/>
        </w:rPr>
        <w:t xml:space="preserve">urther information </w:t>
      </w:r>
      <w:r w:rsidRPr="00ED3305">
        <w:rPr>
          <w:rFonts w:ascii="Times New Roman" w:hAnsi="Times New Roman"/>
          <w:spacing w:val="-2"/>
          <w:szCs w:val="22"/>
        </w:rPr>
        <w:t xml:space="preserve">can be obtained </w:t>
      </w:r>
      <w:r w:rsidR="00822D7D" w:rsidRPr="00ED3305">
        <w:rPr>
          <w:rFonts w:ascii="Times New Roman" w:hAnsi="Times New Roman"/>
          <w:spacing w:val="-2"/>
          <w:szCs w:val="22"/>
        </w:rPr>
        <w:t xml:space="preserve">from the CFU </w:t>
      </w:r>
      <w:r w:rsidR="009830E4" w:rsidRPr="00ED3305">
        <w:rPr>
          <w:rFonts w:ascii="Times New Roman" w:hAnsi="Times New Roman"/>
          <w:spacing w:val="-2"/>
          <w:szCs w:val="22"/>
        </w:rPr>
        <w:t xml:space="preserve">at the address below </w:t>
      </w:r>
      <w:r w:rsidR="00103B46" w:rsidRPr="00ED3305">
        <w:rPr>
          <w:rFonts w:ascii="Times New Roman" w:hAnsi="Times New Roman"/>
          <w:spacing w:val="-2"/>
          <w:szCs w:val="22"/>
        </w:rPr>
        <w:t xml:space="preserve">from </w:t>
      </w:r>
      <w:r w:rsidR="00A94A9A" w:rsidRPr="00ED3305">
        <w:rPr>
          <w:rFonts w:ascii="Times New Roman" w:hAnsi="Times New Roman"/>
          <w:spacing w:val="-2"/>
          <w:szCs w:val="22"/>
        </w:rPr>
        <w:t>0</w:t>
      </w:r>
      <w:r w:rsidR="003F27EA" w:rsidRPr="00ED3305">
        <w:rPr>
          <w:rFonts w:ascii="Times New Roman" w:hAnsi="Times New Roman"/>
          <w:spacing w:val="-2"/>
          <w:szCs w:val="22"/>
        </w:rPr>
        <w:t>9:</w:t>
      </w:r>
      <w:r w:rsidR="009830E4" w:rsidRPr="00ED3305">
        <w:rPr>
          <w:rFonts w:ascii="Times New Roman" w:hAnsi="Times New Roman"/>
          <w:spacing w:val="-2"/>
          <w:szCs w:val="22"/>
        </w:rPr>
        <w:t>00 to 1</w:t>
      </w:r>
      <w:r w:rsidR="00103B46" w:rsidRPr="00ED3305">
        <w:rPr>
          <w:rFonts w:ascii="Times New Roman" w:hAnsi="Times New Roman"/>
          <w:spacing w:val="-2"/>
          <w:szCs w:val="22"/>
        </w:rPr>
        <w:t>5</w:t>
      </w:r>
      <w:r w:rsidR="003F27EA" w:rsidRPr="00ED3305">
        <w:rPr>
          <w:rFonts w:ascii="Times New Roman" w:hAnsi="Times New Roman"/>
          <w:spacing w:val="-2"/>
          <w:szCs w:val="22"/>
        </w:rPr>
        <w:t>:</w:t>
      </w:r>
      <w:r w:rsidR="009830E4" w:rsidRPr="00ED3305">
        <w:rPr>
          <w:rFonts w:ascii="Times New Roman" w:hAnsi="Times New Roman"/>
          <w:spacing w:val="-2"/>
          <w:szCs w:val="22"/>
        </w:rPr>
        <w:t>00 hours.</w:t>
      </w:r>
    </w:p>
    <w:p w14:paraId="703112CD" w14:textId="77777777" w:rsidR="009830E4" w:rsidRPr="0037139E" w:rsidRDefault="009830E4" w:rsidP="00E25788">
      <w:pPr>
        <w:suppressAutoHyphens/>
        <w:jc w:val="both"/>
        <w:rPr>
          <w:rFonts w:ascii="Times New Roman" w:hAnsi="Times New Roman"/>
          <w:spacing w:val="-2"/>
          <w:szCs w:val="22"/>
        </w:rPr>
      </w:pPr>
    </w:p>
    <w:p w14:paraId="25AB309F" w14:textId="3143CB06" w:rsidR="003F27EA" w:rsidRPr="003743B1" w:rsidRDefault="003F27EA" w:rsidP="003F27EA">
      <w:pPr>
        <w:jc w:val="both"/>
        <w:rPr>
          <w:rFonts w:ascii="Times New Roman" w:hAnsi="Times New Roman"/>
          <w:szCs w:val="22"/>
        </w:rPr>
      </w:pPr>
      <w:r w:rsidRPr="003743B1">
        <w:rPr>
          <w:rFonts w:ascii="Times New Roman" w:hAnsi="Times New Roman"/>
          <w:spacing w:val="-2"/>
          <w:szCs w:val="22"/>
        </w:rPr>
        <w:t xml:space="preserve">Expressions of interest in English language must be sent in a written form to the </w:t>
      </w:r>
      <w:r w:rsidRPr="003743B1">
        <w:rPr>
          <w:rFonts w:ascii="Times New Roman" w:hAnsi="Times New Roman"/>
          <w:b/>
          <w:spacing w:val="-2"/>
          <w:szCs w:val="22"/>
        </w:rPr>
        <w:t>E-mail</w:t>
      </w:r>
      <w:r w:rsidRPr="003743B1">
        <w:rPr>
          <w:rFonts w:ascii="Times New Roman" w:hAnsi="Times New Roman"/>
          <w:spacing w:val="-2"/>
          <w:szCs w:val="22"/>
        </w:rPr>
        <w:t xml:space="preserve"> address below, by </w:t>
      </w:r>
      <w:r w:rsidR="000B0843">
        <w:rPr>
          <w:rFonts w:ascii="Times New Roman" w:hAnsi="Times New Roman"/>
          <w:b/>
          <w:spacing w:val="-2"/>
          <w:szCs w:val="22"/>
        </w:rPr>
        <w:t>Octo</w:t>
      </w:r>
      <w:r w:rsidR="00993F6C">
        <w:rPr>
          <w:rFonts w:ascii="Times New Roman" w:hAnsi="Times New Roman"/>
          <w:b/>
          <w:spacing w:val="-2"/>
          <w:szCs w:val="22"/>
        </w:rPr>
        <w:t xml:space="preserve">ber </w:t>
      </w:r>
      <w:r w:rsidR="00E87DC4">
        <w:rPr>
          <w:rFonts w:ascii="Times New Roman" w:hAnsi="Times New Roman"/>
          <w:b/>
          <w:spacing w:val="-2"/>
          <w:szCs w:val="22"/>
        </w:rPr>
        <w:t>21</w:t>
      </w:r>
      <w:r w:rsidR="00993F6C">
        <w:rPr>
          <w:rFonts w:ascii="Times New Roman" w:hAnsi="Times New Roman"/>
          <w:b/>
          <w:spacing w:val="-2"/>
          <w:szCs w:val="22"/>
        </w:rPr>
        <w:t>, 2025</w:t>
      </w:r>
      <w:r w:rsidRPr="003743B1">
        <w:rPr>
          <w:rFonts w:ascii="Times New Roman" w:hAnsi="Times New Roman"/>
          <w:b/>
          <w:spacing w:val="-2"/>
          <w:szCs w:val="22"/>
        </w:rPr>
        <w:t>, 12:00 hours, noon</w:t>
      </w:r>
      <w:r w:rsidRPr="003743B1">
        <w:rPr>
          <w:rFonts w:ascii="Times New Roman" w:hAnsi="Times New Roman"/>
          <w:spacing w:val="-2"/>
          <w:szCs w:val="22"/>
        </w:rPr>
        <w:t>, local time.</w:t>
      </w:r>
      <w:r w:rsidRPr="003743B1">
        <w:rPr>
          <w:rFonts w:ascii="Times New Roman" w:hAnsi="Times New Roman"/>
          <w:szCs w:val="22"/>
        </w:rPr>
        <w:t xml:space="preserve"> </w:t>
      </w:r>
    </w:p>
    <w:p w14:paraId="3374F7D7" w14:textId="77777777" w:rsidR="003F27EA" w:rsidRDefault="003F27EA" w:rsidP="003F27EA">
      <w:pPr>
        <w:suppressAutoHyphens/>
        <w:rPr>
          <w:rFonts w:ascii="Times New Roman" w:hAnsi="Times New Roman"/>
          <w:spacing w:val="-2"/>
          <w:sz w:val="24"/>
        </w:rPr>
      </w:pPr>
    </w:p>
    <w:p w14:paraId="2954AFCD" w14:textId="77777777" w:rsidR="003F27EA" w:rsidRPr="00E62241" w:rsidRDefault="003F27EA" w:rsidP="003F27EA">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870"/>
        <w:gridCol w:w="4042"/>
      </w:tblGrid>
      <w:tr w:rsidR="003F27EA" w:rsidRPr="003743B1" w14:paraId="31DDBBCE" w14:textId="77777777" w:rsidTr="00323ED9">
        <w:tc>
          <w:tcPr>
            <w:tcW w:w="1088" w:type="dxa"/>
            <w:shd w:val="clear" w:color="auto" w:fill="auto"/>
            <w:vAlign w:val="center"/>
          </w:tcPr>
          <w:p w14:paraId="30E903E5" w14:textId="77777777" w:rsidR="003F27EA" w:rsidRPr="003743B1" w:rsidRDefault="003F27EA" w:rsidP="00323ED9">
            <w:pPr>
              <w:spacing w:after="75" w:line="360" w:lineRule="atLeast"/>
              <w:rPr>
                <w:rFonts w:ascii="Times New Roman" w:hAnsi="Times New Roman"/>
                <w:b/>
                <w:spacing w:val="-2"/>
                <w:szCs w:val="22"/>
              </w:rPr>
            </w:pPr>
            <w:r w:rsidRPr="003743B1">
              <w:rPr>
                <w:rFonts w:ascii="Times New Roman" w:hAnsi="Times New Roman"/>
                <w:b/>
                <w:spacing w:val="-2"/>
                <w:szCs w:val="22"/>
              </w:rPr>
              <w:t>Contact:</w:t>
            </w:r>
          </w:p>
        </w:tc>
        <w:tc>
          <w:tcPr>
            <w:tcW w:w="3870" w:type="dxa"/>
            <w:shd w:val="clear" w:color="auto" w:fill="auto"/>
            <w:vAlign w:val="center"/>
          </w:tcPr>
          <w:p w14:paraId="76473969" w14:textId="77777777" w:rsidR="003F27EA" w:rsidRPr="003743B1" w:rsidRDefault="003F27EA" w:rsidP="00323ED9">
            <w:pPr>
              <w:spacing w:after="75" w:line="360" w:lineRule="atLeast"/>
              <w:rPr>
                <w:rFonts w:ascii="Times New Roman" w:hAnsi="Times New Roman"/>
                <w:b/>
                <w:spacing w:val="-2"/>
                <w:szCs w:val="22"/>
              </w:rPr>
            </w:pPr>
            <w:r w:rsidRPr="003743B1">
              <w:rPr>
                <w:rFonts w:ascii="Times New Roman" w:hAnsi="Times New Roman"/>
                <w:b/>
                <w:spacing w:val="-2"/>
                <w:szCs w:val="22"/>
              </w:rPr>
              <w:t>E–mail:</w:t>
            </w:r>
          </w:p>
        </w:tc>
        <w:tc>
          <w:tcPr>
            <w:tcW w:w="4042" w:type="dxa"/>
            <w:shd w:val="clear" w:color="auto" w:fill="auto"/>
            <w:vAlign w:val="center"/>
          </w:tcPr>
          <w:p w14:paraId="25726D74" w14:textId="77777777" w:rsidR="003F27EA" w:rsidRPr="003743B1" w:rsidRDefault="003F27EA" w:rsidP="00323ED9">
            <w:pPr>
              <w:spacing w:after="75" w:line="360" w:lineRule="atLeast"/>
              <w:rPr>
                <w:rFonts w:ascii="Times New Roman" w:hAnsi="Times New Roman"/>
                <w:b/>
                <w:spacing w:val="-2"/>
                <w:szCs w:val="22"/>
              </w:rPr>
            </w:pPr>
            <w:r w:rsidRPr="003743B1">
              <w:rPr>
                <w:rFonts w:ascii="Times New Roman" w:hAnsi="Times New Roman"/>
                <w:b/>
                <w:spacing w:val="-2"/>
                <w:szCs w:val="22"/>
              </w:rPr>
              <w:t>Address:</w:t>
            </w:r>
          </w:p>
        </w:tc>
      </w:tr>
      <w:tr w:rsidR="003F27EA" w:rsidRPr="003743B1" w14:paraId="506D14DF" w14:textId="77777777" w:rsidTr="00323ED9">
        <w:trPr>
          <w:trHeight w:val="1248"/>
        </w:trPr>
        <w:tc>
          <w:tcPr>
            <w:tcW w:w="1088" w:type="dxa"/>
            <w:shd w:val="clear" w:color="auto" w:fill="auto"/>
          </w:tcPr>
          <w:p w14:paraId="227A9E50" w14:textId="77777777" w:rsidR="003F27EA" w:rsidRPr="003743B1" w:rsidRDefault="003F27EA" w:rsidP="00323ED9">
            <w:pPr>
              <w:spacing w:after="75" w:line="360" w:lineRule="atLeast"/>
              <w:rPr>
                <w:rFonts w:ascii="Arial" w:hAnsi="Arial" w:cs="Arial"/>
                <w:color w:val="555556"/>
                <w:szCs w:val="22"/>
              </w:rPr>
            </w:pPr>
            <w:r w:rsidRPr="003743B1">
              <w:rPr>
                <w:rFonts w:ascii="Times New Roman" w:hAnsi="Times New Roman"/>
                <w:spacing w:val="-2"/>
                <w:szCs w:val="22"/>
              </w:rPr>
              <w:t>To:</w:t>
            </w:r>
          </w:p>
        </w:tc>
        <w:tc>
          <w:tcPr>
            <w:tcW w:w="3870" w:type="dxa"/>
            <w:shd w:val="clear" w:color="auto" w:fill="auto"/>
          </w:tcPr>
          <w:p w14:paraId="551819AF" w14:textId="77777777" w:rsidR="003F27EA" w:rsidRPr="003743B1" w:rsidRDefault="0061776F" w:rsidP="00323ED9">
            <w:pPr>
              <w:spacing w:line="360" w:lineRule="atLeast"/>
              <w:rPr>
                <w:rFonts w:ascii="Times New Roman" w:hAnsi="Times New Roman"/>
                <w:spacing w:val="-2"/>
                <w:szCs w:val="22"/>
              </w:rPr>
            </w:pPr>
            <w:hyperlink r:id="rId8" w:history="1">
              <w:r w:rsidR="003F27EA" w:rsidRPr="003743B1">
                <w:rPr>
                  <w:rStyle w:val="Hyperlink"/>
                  <w:rFonts w:ascii="Times New Roman" w:hAnsi="Times New Roman"/>
                  <w:szCs w:val="22"/>
                </w:rPr>
                <w:t>ljiljana.krejovic@mfin.gov.rs</w:t>
              </w:r>
            </w:hyperlink>
          </w:p>
          <w:p w14:paraId="189E3860" w14:textId="77777777" w:rsidR="003F27EA" w:rsidRPr="003743B1" w:rsidRDefault="003F27EA" w:rsidP="00323ED9">
            <w:pPr>
              <w:spacing w:after="75" w:line="360" w:lineRule="atLeast"/>
              <w:rPr>
                <w:rFonts w:ascii="Times New Roman" w:hAnsi="Times New Roman"/>
                <w:spacing w:val="-2"/>
                <w:szCs w:val="22"/>
              </w:rPr>
            </w:pPr>
            <w:r w:rsidRPr="003743B1">
              <w:rPr>
                <w:rFonts w:ascii="Times New Roman" w:hAnsi="Times New Roman"/>
                <w:spacing w:val="-2"/>
                <w:szCs w:val="22"/>
              </w:rPr>
              <w:t>Ms Ljiljana Krejovic</w:t>
            </w:r>
          </w:p>
          <w:p w14:paraId="08E580A3" w14:textId="77777777" w:rsidR="003F27EA" w:rsidRPr="003743B1" w:rsidRDefault="003F27EA" w:rsidP="00323ED9">
            <w:pPr>
              <w:spacing w:after="75" w:line="360" w:lineRule="atLeast"/>
              <w:rPr>
                <w:rFonts w:ascii="Times New Roman" w:hAnsi="Times New Roman"/>
                <w:spacing w:val="-2"/>
                <w:szCs w:val="22"/>
              </w:rPr>
            </w:pPr>
            <w:r w:rsidRPr="003743B1">
              <w:rPr>
                <w:rFonts w:ascii="Times New Roman" w:hAnsi="Times New Roman"/>
                <w:spacing w:val="-2"/>
                <w:szCs w:val="22"/>
              </w:rPr>
              <w:t>Procurement Specialist</w:t>
            </w:r>
          </w:p>
        </w:tc>
        <w:tc>
          <w:tcPr>
            <w:tcW w:w="4042" w:type="dxa"/>
            <w:vMerge w:val="restart"/>
            <w:shd w:val="clear" w:color="auto" w:fill="auto"/>
          </w:tcPr>
          <w:p w14:paraId="6784A4CF" w14:textId="77777777" w:rsidR="003F27EA" w:rsidRPr="003743B1" w:rsidRDefault="003F27EA" w:rsidP="00323ED9">
            <w:pPr>
              <w:spacing w:before="120"/>
              <w:rPr>
                <w:rFonts w:ascii="Times New Roman" w:hAnsi="Times New Roman"/>
                <w:spacing w:val="-2"/>
                <w:szCs w:val="22"/>
              </w:rPr>
            </w:pPr>
            <w:r w:rsidRPr="003743B1">
              <w:rPr>
                <w:rFonts w:ascii="Times New Roman" w:hAnsi="Times New Roman"/>
                <w:spacing w:val="-2"/>
                <w:szCs w:val="22"/>
              </w:rPr>
              <w:t>Ministry of Finance</w:t>
            </w:r>
          </w:p>
          <w:p w14:paraId="66B390DC" w14:textId="77777777" w:rsidR="003F27EA" w:rsidRPr="003743B1" w:rsidRDefault="003F27EA" w:rsidP="00323ED9">
            <w:pPr>
              <w:spacing w:before="120"/>
              <w:rPr>
                <w:rFonts w:ascii="Times New Roman" w:hAnsi="Times New Roman"/>
                <w:spacing w:val="-2"/>
                <w:szCs w:val="22"/>
              </w:rPr>
            </w:pPr>
            <w:r w:rsidRPr="003743B1">
              <w:rPr>
                <w:rFonts w:ascii="Times New Roman" w:hAnsi="Times New Roman"/>
                <w:spacing w:val="-2"/>
                <w:szCs w:val="22"/>
              </w:rPr>
              <w:t>Central Fiduciary Unit</w:t>
            </w:r>
          </w:p>
          <w:p w14:paraId="11C924D6" w14:textId="5268D06A" w:rsidR="003F27EA" w:rsidRPr="003743B1" w:rsidRDefault="00993F6C" w:rsidP="00323ED9">
            <w:pPr>
              <w:spacing w:before="120"/>
              <w:rPr>
                <w:rFonts w:ascii="Times New Roman" w:hAnsi="Times New Roman"/>
                <w:spacing w:val="-2"/>
                <w:szCs w:val="22"/>
              </w:rPr>
            </w:pPr>
            <w:r>
              <w:rPr>
                <w:rFonts w:ascii="Times New Roman" w:hAnsi="Times New Roman"/>
                <w:spacing w:val="-2"/>
                <w:szCs w:val="22"/>
              </w:rPr>
              <w:t>53 Balkanska</w:t>
            </w:r>
            <w:r w:rsidR="003F27EA" w:rsidRPr="003743B1">
              <w:rPr>
                <w:rFonts w:ascii="Times New Roman" w:hAnsi="Times New Roman"/>
                <w:spacing w:val="-2"/>
                <w:szCs w:val="22"/>
              </w:rPr>
              <w:t xml:space="preserve"> St</w:t>
            </w:r>
          </w:p>
          <w:p w14:paraId="6C96E235" w14:textId="77777777" w:rsidR="003F27EA" w:rsidRPr="003743B1" w:rsidRDefault="003F27EA" w:rsidP="00323ED9">
            <w:pPr>
              <w:spacing w:before="120"/>
              <w:rPr>
                <w:rFonts w:ascii="Times New Roman" w:hAnsi="Times New Roman"/>
                <w:spacing w:val="-2"/>
                <w:szCs w:val="22"/>
              </w:rPr>
            </w:pPr>
            <w:r w:rsidRPr="003743B1">
              <w:rPr>
                <w:rFonts w:ascii="Times New Roman" w:hAnsi="Times New Roman"/>
                <w:spacing w:val="-2"/>
                <w:szCs w:val="22"/>
              </w:rPr>
              <w:t>11000 Belgrade, Serbia</w:t>
            </w:r>
          </w:p>
          <w:p w14:paraId="7370FB7E" w14:textId="62C3FEC2" w:rsidR="003F27EA" w:rsidRPr="003743B1" w:rsidRDefault="003F27EA" w:rsidP="00993F6C">
            <w:pPr>
              <w:spacing w:before="120"/>
              <w:rPr>
                <w:rFonts w:ascii="Times New Roman" w:hAnsi="Times New Roman"/>
                <w:spacing w:val="-2"/>
                <w:szCs w:val="22"/>
              </w:rPr>
            </w:pPr>
            <w:r w:rsidRPr="003743B1">
              <w:rPr>
                <w:rFonts w:ascii="Times New Roman" w:hAnsi="Times New Roman"/>
                <w:spacing w:val="-2"/>
                <w:szCs w:val="22"/>
              </w:rPr>
              <w:t xml:space="preserve">Tel/Fax: (+381 11) </w:t>
            </w:r>
            <w:r w:rsidR="00993F6C">
              <w:rPr>
                <w:rFonts w:ascii="Times New Roman" w:hAnsi="Times New Roman"/>
                <w:spacing w:val="-2"/>
                <w:szCs w:val="22"/>
              </w:rPr>
              <w:t>765</w:t>
            </w:r>
            <w:r w:rsidRPr="003743B1">
              <w:rPr>
                <w:rFonts w:ascii="Times New Roman" w:hAnsi="Times New Roman"/>
                <w:spacing w:val="-2"/>
                <w:szCs w:val="22"/>
              </w:rPr>
              <w:t>2</w:t>
            </w:r>
            <w:r w:rsidR="00993F6C">
              <w:rPr>
                <w:rFonts w:ascii="Times New Roman" w:hAnsi="Times New Roman"/>
                <w:spacing w:val="-2"/>
                <w:szCs w:val="22"/>
              </w:rPr>
              <w:t>652</w:t>
            </w:r>
            <w:r w:rsidRPr="003743B1">
              <w:rPr>
                <w:rFonts w:ascii="Times New Roman" w:hAnsi="Times New Roman"/>
                <w:spacing w:val="-2"/>
                <w:szCs w:val="22"/>
              </w:rPr>
              <w:t>       </w:t>
            </w:r>
          </w:p>
        </w:tc>
      </w:tr>
      <w:tr w:rsidR="003F27EA" w:rsidRPr="003743B1" w14:paraId="136BD045" w14:textId="77777777" w:rsidTr="00323ED9">
        <w:tc>
          <w:tcPr>
            <w:tcW w:w="1088" w:type="dxa"/>
            <w:shd w:val="clear" w:color="auto" w:fill="auto"/>
          </w:tcPr>
          <w:p w14:paraId="03C691D9" w14:textId="77777777" w:rsidR="003F27EA" w:rsidRPr="003743B1" w:rsidRDefault="003F27EA" w:rsidP="00323ED9">
            <w:pPr>
              <w:spacing w:after="75" w:line="360" w:lineRule="atLeast"/>
              <w:rPr>
                <w:rFonts w:ascii="Arial" w:hAnsi="Arial" w:cs="Arial"/>
                <w:color w:val="555556"/>
                <w:szCs w:val="22"/>
              </w:rPr>
            </w:pPr>
            <w:r w:rsidRPr="003743B1">
              <w:rPr>
                <w:rFonts w:ascii="Times New Roman" w:hAnsi="Times New Roman"/>
                <w:spacing w:val="-2"/>
                <w:szCs w:val="22"/>
              </w:rPr>
              <w:t>Cc:</w:t>
            </w:r>
          </w:p>
        </w:tc>
        <w:tc>
          <w:tcPr>
            <w:tcW w:w="3870" w:type="dxa"/>
            <w:shd w:val="clear" w:color="auto" w:fill="auto"/>
          </w:tcPr>
          <w:p w14:paraId="73D5D558" w14:textId="77777777" w:rsidR="003F27EA" w:rsidRPr="003743B1" w:rsidRDefault="0061776F" w:rsidP="00323ED9">
            <w:pPr>
              <w:spacing w:line="360" w:lineRule="atLeast"/>
              <w:rPr>
                <w:rFonts w:ascii="Times New Roman" w:hAnsi="Times New Roman"/>
                <w:spacing w:val="-2"/>
                <w:szCs w:val="22"/>
              </w:rPr>
            </w:pPr>
            <w:hyperlink r:id="rId9" w:history="1">
              <w:r w:rsidR="003F27EA" w:rsidRPr="003743B1">
                <w:rPr>
                  <w:rStyle w:val="Hyperlink"/>
                  <w:rFonts w:ascii="Times New Roman" w:hAnsi="Times New Roman"/>
                  <w:szCs w:val="22"/>
                </w:rPr>
                <w:t>ljiljana.dzuver@mfin.gov.rs</w:t>
              </w:r>
            </w:hyperlink>
          </w:p>
        </w:tc>
        <w:tc>
          <w:tcPr>
            <w:tcW w:w="4042" w:type="dxa"/>
            <w:vMerge/>
            <w:shd w:val="clear" w:color="auto" w:fill="auto"/>
          </w:tcPr>
          <w:p w14:paraId="6D6694EA" w14:textId="77777777" w:rsidR="003F27EA" w:rsidRPr="003743B1" w:rsidRDefault="003F27EA" w:rsidP="00323ED9">
            <w:pPr>
              <w:spacing w:after="75" w:line="360" w:lineRule="atLeast"/>
              <w:rPr>
                <w:rFonts w:ascii="Times New Roman" w:hAnsi="Times New Roman"/>
                <w:spacing w:val="-2"/>
                <w:szCs w:val="22"/>
              </w:rPr>
            </w:pPr>
          </w:p>
        </w:tc>
      </w:tr>
      <w:tr w:rsidR="003F27EA" w:rsidRPr="003743B1" w14:paraId="05BB978B" w14:textId="77777777" w:rsidTr="00323ED9">
        <w:tc>
          <w:tcPr>
            <w:tcW w:w="1088" w:type="dxa"/>
            <w:shd w:val="clear" w:color="auto" w:fill="auto"/>
          </w:tcPr>
          <w:p w14:paraId="2A2192E7" w14:textId="77777777" w:rsidR="003F27EA" w:rsidRPr="003743B1" w:rsidRDefault="003F27EA" w:rsidP="00323ED9">
            <w:pPr>
              <w:spacing w:after="75" w:line="360" w:lineRule="atLeast"/>
              <w:rPr>
                <w:rFonts w:ascii="Times New Roman" w:hAnsi="Times New Roman"/>
                <w:spacing w:val="-2"/>
                <w:szCs w:val="22"/>
              </w:rPr>
            </w:pPr>
            <w:r w:rsidRPr="003743B1">
              <w:rPr>
                <w:rFonts w:ascii="Times New Roman" w:hAnsi="Times New Roman"/>
                <w:spacing w:val="-2"/>
                <w:szCs w:val="22"/>
              </w:rPr>
              <w:t>Cc:</w:t>
            </w:r>
          </w:p>
        </w:tc>
        <w:tc>
          <w:tcPr>
            <w:tcW w:w="3870" w:type="dxa"/>
            <w:shd w:val="clear" w:color="auto" w:fill="auto"/>
          </w:tcPr>
          <w:p w14:paraId="17DEB906" w14:textId="7CBD9238" w:rsidR="00993F6C" w:rsidRDefault="0061776F" w:rsidP="00323ED9">
            <w:pPr>
              <w:spacing w:line="360" w:lineRule="atLeast"/>
            </w:pPr>
            <w:hyperlink r:id="rId10" w:history="1">
              <w:r w:rsidR="00993F6C" w:rsidRPr="006C29A1">
                <w:rPr>
                  <w:rStyle w:val="Hyperlink"/>
                </w:rPr>
                <w:t>nenad.antonijevic@ite.gov.rs</w:t>
              </w:r>
            </w:hyperlink>
          </w:p>
          <w:p w14:paraId="1F78F2B9" w14:textId="4B8A68AE" w:rsidR="003F27EA" w:rsidRDefault="0061776F" w:rsidP="00323ED9">
            <w:pPr>
              <w:spacing w:line="360" w:lineRule="atLeast"/>
            </w:pPr>
            <w:hyperlink r:id="rId11" w:history="1">
              <w:r w:rsidR="000A4772" w:rsidRPr="00030A77">
                <w:rPr>
                  <w:rStyle w:val="Hyperlink"/>
                </w:rPr>
                <w:t>edge@ite.gov.rs</w:t>
              </w:r>
            </w:hyperlink>
          </w:p>
          <w:p w14:paraId="4DF6522A" w14:textId="3CF50977" w:rsidR="000A4772" w:rsidRPr="003743B1" w:rsidRDefault="000A4772" w:rsidP="00323ED9">
            <w:pPr>
              <w:spacing w:line="360" w:lineRule="atLeast"/>
              <w:rPr>
                <w:szCs w:val="22"/>
              </w:rPr>
            </w:pPr>
          </w:p>
        </w:tc>
        <w:tc>
          <w:tcPr>
            <w:tcW w:w="4042" w:type="dxa"/>
            <w:shd w:val="clear" w:color="auto" w:fill="auto"/>
          </w:tcPr>
          <w:p w14:paraId="7DBAE3A1" w14:textId="77777777" w:rsidR="003F27EA" w:rsidRPr="003743B1" w:rsidRDefault="003F27EA" w:rsidP="00323ED9">
            <w:pPr>
              <w:spacing w:after="75" w:line="360" w:lineRule="atLeast"/>
              <w:rPr>
                <w:rFonts w:ascii="Times New Roman" w:hAnsi="Times New Roman"/>
                <w:spacing w:val="-2"/>
                <w:szCs w:val="22"/>
              </w:rPr>
            </w:pPr>
          </w:p>
        </w:tc>
      </w:tr>
    </w:tbl>
    <w:p w14:paraId="08B1734F" w14:textId="77777777" w:rsidR="00A94A9A" w:rsidRPr="004B37D4" w:rsidRDefault="00A94A9A" w:rsidP="004B37D4">
      <w:pPr>
        <w:tabs>
          <w:tab w:val="left" w:pos="2475"/>
        </w:tabs>
        <w:suppressAutoHyphens/>
        <w:rPr>
          <w:rFonts w:ascii="Times New Roman" w:hAnsi="Times New Roman"/>
          <w:spacing w:val="-2"/>
          <w:sz w:val="2"/>
          <w:szCs w:val="2"/>
        </w:rPr>
      </w:pPr>
    </w:p>
    <w:sectPr w:rsidR="00A94A9A" w:rsidRPr="004B37D4" w:rsidSect="00E25788">
      <w:headerReference w:type="default" r:id="rId12"/>
      <w:endnotePr>
        <w:numFmt w:val="decimal"/>
      </w:endnotePr>
      <w:pgSz w:w="12240" w:h="15840"/>
      <w:pgMar w:top="720" w:right="720" w:bottom="720" w:left="72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5320" w14:textId="77777777" w:rsidR="0061776F" w:rsidRDefault="0061776F">
      <w:r>
        <w:separator/>
      </w:r>
    </w:p>
  </w:endnote>
  <w:endnote w:type="continuationSeparator" w:id="0">
    <w:p w14:paraId="77534DA6" w14:textId="77777777" w:rsidR="0061776F" w:rsidRDefault="0061776F">
      <w:r>
        <w:rPr>
          <w:sz w:val="24"/>
        </w:rPr>
        <w:t xml:space="preserve"> </w:t>
      </w:r>
    </w:p>
  </w:endnote>
  <w:endnote w:type="continuationNotice" w:id="1">
    <w:p w14:paraId="3AD61CCD" w14:textId="77777777" w:rsidR="0061776F" w:rsidRDefault="006177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4A0B" w14:textId="77777777" w:rsidR="0061776F" w:rsidRDefault="0061776F">
      <w:r>
        <w:rPr>
          <w:sz w:val="24"/>
        </w:rPr>
        <w:separator/>
      </w:r>
    </w:p>
  </w:footnote>
  <w:footnote w:type="continuationSeparator" w:id="0">
    <w:p w14:paraId="2347F5E2" w14:textId="77777777" w:rsidR="0061776F" w:rsidRDefault="00617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CB80"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2266"/>
    <w:multiLevelType w:val="hybridMultilevel"/>
    <w:tmpl w:val="BBB22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73737"/>
    <w:multiLevelType w:val="hybridMultilevel"/>
    <w:tmpl w:val="9E28DBFE"/>
    <w:lvl w:ilvl="0" w:tplc="D90A09A6">
      <w:start w:val="1"/>
      <w:numFmt w:val="bullet"/>
      <w:lvlText w:val=""/>
      <w:lvlJc w:val="left"/>
      <w:pPr>
        <w:ind w:left="720" w:hanging="360"/>
      </w:pPr>
      <w:rPr>
        <w:rFonts w:ascii="Wingdings" w:hAnsi="Wingdings" w:hint="default"/>
        <w:color w:val="C00000"/>
        <w:u w:color="FFFFFF" w:themeColor="background1"/>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A558B"/>
    <w:multiLevelType w:val="hybridMultilevel"/>
    <w:tmpl w:val="FD0E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22D61"/>
    <w:multiLevelType w:val="multilevel"/>
    <w:tmpl w:val="50D8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40141"/>
    <w:multiLevelType w:val="hybridMultilevel"/>
    <w:tmpl w:val="B0901434"/>
    <w:lvl w:ilvl="0" w:tplc="D90A09A6">
      <w:start w:val="1"/>
      <w:numFmt w:val="bullet"/>
      <w:lvlText w:val=""/>
      <w:lvlJc w:val="left"/>
      <w:pPr>
        <w:ind w:left="720" w:hanging="360"/>
      </w:pPr>
      <w:rPr>
        <w:rFonts w:ascii="Wingdings" w:hAnsi="Wingdings" w:hint="default"/>
        <w:color w:val="C00000"/>
        <w:u w:color="FFFFFF" w:themeColor="background1"/>
      </w:rPr>
    </w:lvl>
    <w:lvl w:ilvl="1" w:tplc="FE3876C2">
      <w:start w:val="31"/>
      <w:numFmt w:val="bullet"/>
      <w:lvlText w:val="-"/>
      <w:lvlJc w:val="left"/>
      <w:pPr>
        <w:ind w:left="1440" w:hanging="360"/>
      </w:pPr>
      <w:rPr>
        <w:rFonts w:ascii="Arial" w:eastAsia="MS PGothic"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46844"/>
    <w:multiLevelType w:val="hybridMultilevel"/>
    <w:tmpl w:val="C1C658CE"/>
    <w:lvl w:ilvl="0" w:tplc="8C8C6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63D45"/>
    <w:multiLevelType w:val="hybridMultilevel"/>
    <w:tmpl w:val="A4E44F2E"/>
    <w:lvl w:ilvl="0" w:tplc="D90A09A6">
      <w:start w:val="1"/>
      <w:numFmt w:val="bullet"/>
      <w:lvlText w:val=""/>
      <w:lvlJc w:val="left"/>
      <w:pPr>
        <w:ind w:left="1440" w:hanging="360"/>
      </w:pPr>
      <w:rPr>
        <w:rFonts w:ascii="Wingdings" w:hAnsi="Wingdings" w:hint="default"/>
        <w:color w:val="C00000"/>
        <w:u w:color="FFFFFF" w:themeColor="background1"/>
      </w:rPr>
    </w:lvl>
    <w:lvl w:ilvl="1" w:tplc="E9F4BAE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454333"/>
    <w:multiLevelType w:val="hybridMultilevel"/>
    <w:tmpl w:val="6CE0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56817"/>
    <w:multiLevelType w:val="hybridMultilevel"/>
    <w:tmpl w:val="0A886C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A91E97"/>
    <w:multiLevelType w:val="multilevel"/>
    <w:tmpl w:val="6F6A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F70F3"/>
    <w:multiLevelType w:val="hybridMultilevel"/>
    <w:tmpl w:val="B86EC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40BF0"/>
    <w:multiLevelType w:val="hybridMultilevel"/>
    <w:tmpl w:val="07D6E2A8"/>
    <w:lvl w:ilvl="0" w:tplc="CC349D12">
      <w:start w:val="1"/>
      <w:numFmt w:val="bullet"/>
      <w:pStyle w:val="Buli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5B28D5"/>
    <w:multiLevelType w:val="hybridMultilevel"/>
    <w:tmpl w:val="6E88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C148C"/>
    <w:multiLevelType w:val="hybridMultilevel"/>
    <w:tmpl w:val="EAD0C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0"/>
  </w:num>
  <w:num w:numId="4">
    <w:abstractNumId w:val="8"/>
  </w:num>
  <w:num w:numId="5">
    <w:abstractNumId w:val="6"/>
  </w:num>
  <w:num w:numId="6">
    <w:abstractNumId w:val="1"/>
  </w:num>
  <w:num w:numId="7">
    <w:abstractNumId w:val="4"/>
  </w:num>
  <w:num w:numId="8">
    <w:abstractNumId w:val="5"/>
  </w:num>
  <w:num w:numId="9">
    <w:abstractNumId w:val="7"/>
  </w:num>
  <w:num w:numId="10">
    <w:abstractNumId w:val="2"/>
  </w:num>
  <w:num w:numId="11">
    <w:abstractNumId w:val="12"/>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720"/>
    <w:rsid w:val="000343DE"/>
    <w:rsid w:val="00034548"/>
    <w:rsid w:val="00050CBE"/>
    <w:rsid w:val="000A4184"/>
    <w:rsid w:val="000A4772"/>
    <w:rsid w:val="000B0843"/>
    <w:rsid w:val="000C4041"/>
    <w:rsid w:val="00103B46"/>
    <w:rsid w:val="00104784"/>
    <w:rsid w:val="00131C96"/>
    <w:rsid w:val="001836DB"/>
    <w:rsid w:val="00186F7D"/>
    <w:rsid w:val="001A30CA"/>
    <w:rsid w:val="001A5997"/>
    <w:rsid w:val="001B0D84"/>
    <w:rsid w:val="001C2BCD"/>
    <w:rsid w:val="001D70EB"/>
    <w:rsid w:val="0021766A"/>
    <w:rsid w:val="0025144D"/>
    <w:rsid w:val="002563C1"/>
    <w:rsid w:val="00270FD2"/>
    <w:rsid w:val="002727A9"/>
    <w:rsid w:val="002B0171"/>
    <w:rsid w:val="002B522F"/>
    <w:rsid w:val="002E530F"/>
    <w:rsid w:val="00332518"/>
    <w:rsid w:val="00357959"/>
    <w:rsid w:val="0036047A"/>
    <w:rsid w:val="0037139E"/>
    <w:rsid w:val="003743B1"/>
    <w:rsid w:val="00385024"/>
    <w:rsid w:val="00391D87"/>
    <w:rsid w:val="003A1D8D"/>
    <w:rsid w:val="003C1A8D"/>
    <w:rsid w:val="003C2D23"/>
    <w:rsid w:val="003D09DC"/>
    <w:rsid w:val="003F27EA"/>
    <w:rsid w:val="0040538F"/>
    <w:rsid w:val="00415C53"/>
    <w:rsid w:val="0043084B"/>
    <w:rsid w:val="00430FB4"/>
    <w:rsid w:val="004560B6"/>
    <w:rsid w:val="004A03ED"/>
    <w:rsid w:val="004A5E03"/>
    <w:rsid w:val="004B18F2"/>
    <w:rsid w:val="004B37D4"/>
    <w:rsid w:val="004E721D"/>
    <w:rsid w:val="004F0EE9"/>
    <w:rsid w:val="0050661F"/>
    <w:rsid w:val="005377AC"/>
    <w:rsid w:val="0054445F"/>
    <w:rsid w:val="005D5E33"/>
    <w:rsid w:val="006039F1"/>
    <w:rsid w:val="0061776F"/>
    <w:rsid w:val="00696F98"/>
    <w:rsid w:val="006974D1"/>
    <w:rsid w:val="006D6898"/>
    <w:rsid w:val="006F3706"/>
    <w:rsid w:val="00732F3E"/>
    <w:rsid w:val="007629BB"/>
    <w:rsid w:val="007A40C5"/>
    <w:rsid w:val="007B4CE4"/>
    <w:rsid w:val="007D1C85"/>
    <w:rsid w:val="007D59F6"/>
    <w:rsid w:val="007E72D3"/>
    <w:rsid w:val="008102FA"/>
    <w:rsid w:val="00811525"/>
    <w:rsid w:val="00822D7D"/>
    <w:rsid w:val="00875FFD"/>
    <w:rsid w:val="0087623A"/>
    <w:rsid w:val="008929AC"/>
    <w:rsid w:val="00892C92"/>
    <w:rsid w:val="0089380F"/>
    <w:rsid w:val="008A4AA7"/>
    <w:rsid w:val="008C1387"/>
    <w:rsid w:val="008D5364"/>
    <w:rsid w:val="008F38E8"/>
    <w:rsid w:val="00905385"/>
    <w:rsid w:val="00916E24"/>
    <w:rsid w:val="00930962"/>
    <w:rsid w:val="00930D65"/>
    <w:rsid w:val="0093490C"/>
    <w:rsid w:val="00965E53"/>
    <w:rsid w:val="009830E4"/>
    <w:rsid w:val="00983A8E"/>
    <w:rsid w:val="00993F6C"/>
    <w:rsid w:val="009A6D02"/>
    <w:rsid w:val="009A7BEB"/>
    <w:rsid w:val="009B04A5"/>
    <w:rsid w:val="009E3905"/>
    <w:rsid w:val="009E4A48"/>
    <w:rsid w:val="00A05A45"/>
    <w:rsid w:val="00A05DE2"/>
    <w:rsid w:val="00A62834"/>
    <w:rsid w:val="00A94A9A"/>
    <w:rsid w:val="00A9794E"/>
    <w:rsid w:val="00AD2E13"/>
    <w:rsid w:val="00AF0F7D"/>
    <w:rsid w:val="00B21FC4"/>
    <w:rsid w:val="00B3630A"/>
    <w:rsid w:val="00B74B11"/>
    <w:rsid w:val="00B74CEC"/>
    <w:rsid w:val="00BA4299"/>
    <w:rsid w:val="00BC1BB9"/>
    <w:rsid w:val="00BD6CBC"/>
    <w:rsid w:val="00C05D26"/>
    <w:rsid w:val="00C155E6"/>
    <w:rsid w:val="00CB1558"/>
    <w:rsid w:val="00CE0D2A"/>
    <w:rsid w:val="00CF5D87"/>
    <w:rsid w:val="00D04EA8"/>
    <w:rsid w:val="00D26115"/>
    <w:rsid w:val="00D26B12"/>
    <w:rsid w:val="00D300DD"/>
    <w:rsid w:val="00D5320F"/>
    <w:rsid w:val="00D83BCE"/>
    <w:rsid w:val="00DA15DD"/>
    <w:rsid w:val="00DB4425"/>
    <w:rsid w:val="00DC1D70"/>
    <w:rsid w:val="00DC634A"/>
    <w:rsid w:val="00DE62DC"/>
    <w:rsid w:val="00DF029B"/>
    <w:rsid w:val="00DF6A28"/>
    <w:rsid w:val="00E07E32"/>
    <w:rsid w:val="00E25788"/>
    <w:rsid w:val="00E3137E"/>
    <w:rsid w:val="00E3145A"/>
    <w:rsid w:val="00E706D4"/>
    <w:rsid w:val="00E836FA"/>
    <w:rsid w:val="00E86FEA"/>
    <w:rsid w:val="00E87DC4"/>
    <w:rsid w:val="00EB4FB8"/>
    <w:rsid w:val="00EB5460"/>
    <w:rsid w:val="00EC50B8"/>
    <w:rsid w:val="00ED3305"/>
    <w:rsid w:val="00F02866"/>
    <w:rsid w:val="00F1557F"/>
    <w:rsid w:val="00F17486"/>
    <w:rsid w:val="00F17C9F"/>
    <w:rsid w:val="00F40313"/>
    <w:rsid w:val="00F408B3"/>
    <w:rsid w:val="00F53B7E"/>
    <w:rsid w:val="00F54AF6"/>
    <w:rsid w:val="00F648FF"/>
    <w:rsid w:val="00F6757C"/>
    <w:rsid w:val="00F873D5"/>
    <w:rsid w:val="00FA6F85"/>
    <w:rsid w:val="00FC0C09"/>
    <w:rsid w:val="00FC63DF"/>
    <w:rsid w:val="00FF0328"/>
    <w:rsid w:val="00FF6E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5EA8"/>
  <w15:docId w15:val="{694ED100-9378-46EE-9E30-798EC893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customStyle="1" w:styleId="Default">
    <w:name w:val="Default"/>
    <w:rsid w:val="00186F7D"/>
    <w:pPr>
      <w:autoSpaceDE w:val="0"/>
      <w:autoSpaceDN w:val="0"/>
      <w:adjustRightInd w:val="0"/>
    </w:pPr>
    <w:rPr>
      <w:color w:val="000000"/>
      <w:sz w:val="24"/>
      <w:szCs w:val="24"/>
    </w:rPr>
  </w:style>
  <w:style w:type="paragraph" w:styleId="ListParagraph">
    <w:name w:val="List Paragraph"/>
    <w:basedOn w:val="Normal"/>
    <w:uiPriority w:val="34"/>
    <w:qFormat/>
    <w:rsid w:val="00332518"/>
    <w:pPr>
      <w:ind w:left="720"/>
      <w:contextualSpacing/>
      <w:jc w:val="both"/>
    </w:pPr>
    <w:rPr>
      <w:rFonts w:asciiTheme="minorHAnsi" w:eastAsiaTheme="minorHAnsi" w:hAnsiTheme="minorHAnsi" w:cstheme="minorBidi"/>
      <w:szCs w:val="22"/>
    </w:rPr>
  </w:style>
  <w:style w:type="table" w:styleId="TableGrid">
    <w:name w:val="Table Grid"/>
    <w:basedOn w:val="TableNormal"/>
    <w:uiPriority w:val="39"/>
    <w:rsid w:val="00332518"/>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B21FC4"/>
    <w:rPr>
      <w:rFonts w:ascii="CG Times" w:hAnsi="CG Times"/>
      <w:spacing w:val="-2"/>
      <w:sz w:val="24"/>
    </w:rPr>
  </w:style>
  <w:style w:type="paragraph" w:customStyle="1" w:styleId="Bulit">
    <w:name w:val="Bulit"/>
    <w:basedOn w:val="Heading1"/>
    <w:autoRedefine/>
    <w:qFormat/>
    <w:rsid w:val="004B18F2"/>
    <w:pPr>
      <w:keepNext w:val="0"/>
      <w:numPr>
        <w:numId w:val="14"/>
      </w:numPr>
      <w:tabs>
        <w:tab w:val="clear" w:pos="-720"/>
      </w:tabs>
      <w:suppressAutoHyphens w:val="0"/>
      <w:spacing w:before="120" w:after="120" w:line="259" w:lineRule="auto"/>
      <w:jc w:val="both"/>
    </w:pPr>
    <w:rPr>
      <w:rFonts w:eastAsia="Calibri" w:cs="Calibri"/>
      <w:b w:val="0"/>
      <w:bCs/>
      <w:smallCaps w:val="0"/>
      <w:kern w:val="2"/>
      <w:sz w:val="22"/>
      <w:szCs w:val="40"/>
      <w:u w:color="000000"/>
      <w:bdr w:val="n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krejov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ge@ite.gov.rs" TargetMode="External"/><Relationship Id="rId5" Type="http://schemas.openxmlformats.org/officeDocument/2006/relationships/webSettings" Target="webSettings.xml"/><Relationship Id="rId10" Type="http://schemas.openxmlformats.org/officeDocument/2006/relationships/hyperlink" Target="mailto:nenad.antonijevic@ite.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82C97-EF5A-4DE9-8691-8EC70B0F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7707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Nenad Antonijević</cp:lastModifiedBy>
  <cp:revision>12</cp:revision>
  <cp:lastPrinted>2017-05-25T07:25:00Z</cp:lastPrinted>
  <dcterms:created xsi:type="dcterms:W3CDTF">2019-10-11T06:41:00Z</dcterms:created>
  <dcterms:modified xsi:type="dcterms:W3CDTF">2025-10-06T14:16:00Z</dcterms:modified>
</cp:coreProperties>
</file>